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Восемьдесят второе заседание второго созыва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30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марта 2012 года                                                  №  313/82-02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 исполнении бюджета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 за 2011 год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264.6  Бюджетного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46  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1.Утвердить отчет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  исполнении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2011 год :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 доходам в сумме 11 971,9 тыс. рублей;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 расходам в сумме 12 009,6 тыс. рублей;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 дефицитом бюджета в сумме 37,7 тыс. рублей.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Утвердить следующие показатели по исполнению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2011 год: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2011 год по кодам  классификации доходов бюджета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2011 год  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-расходы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2011 г. по ведомственной структуре расходов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-расходы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2011 год по разделам и подразделам расходов бюджета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4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источники финансирования дефицита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2011 год по кодам </w:t>
      </w:r>
      <w:r>
        <w:rPr>
          <w:rFonts w:ascii="Arial" w:hAnsi="Arial" w:cs="Arial"/>
          <w:color w:val="333333"/>
          <w:sz w:val="21"/>
          <w:szCs w:val="21"/>
        </w:rPr>
        <w:lastRenderedPageBreak/>
        <w:t>классификации источников финансирования дефицита бюджета согласно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5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-источники финансирования дефицита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2011 год по кодам групп, подгрупп, статей, видов источников 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согласно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6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Бубновой О.Г. опубликовать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2011 год.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FB6B02" w:rsidRDefault="00FB6B02" w:rsidP="00FB6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02"/>
    <w:rsid w:val="00CF665C"/>
    <w:rsid w:val="00F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4BF3D-9A20-454B-993A-6B82C3B5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B02"/>
    <w:rPr>
      <w:b/>
      <w:bCs/>
    </w:rPr>
  </w:style>
  <w:style w:type="character" w:styleId="a5">
    <w:name w:val="Hyperlink"/>
    <w:basedOn w:val="a0"/>
    <w:uiPriority w:val="99"/>
    <w:semiHidden/>
    <w:unhideWhenUsed/>
    <w:rsid w:val="00FB6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images/stories/mo/novopushkinsk_mo/docs/313.82-02-3.4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images/stories/mo/novopushkinsk_mo/docs/313.82-02-3.4.zi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313.82-02-1.2.z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313.82-02-1.2.zip" TargetMode="External"/><Relationship Id="rId10" Type="http://schemas.openxmlformats.org/officeDocument/2006/relationships/hyperlink" Target="https://www.engels-city.ru/images/stories/mo/novopushkinsk_mo/docs/313.82-02-5.6.zi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ngels-city.ru/images/stories/mo/novopushkinsk_mo/docs/313.82-02-5.6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2024-03-01T03:31:00Z</dcterms:created>
  <dcterms:modified xsi:type="dcterms:W3CDTF">2024-03-01T03:31:00Z</dcterms:modified>
</cp:coreProperties>
</file>