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Шестидесятое заседание второго созыва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24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марта  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                                          № 218/60-02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22.12.2010 г. №202/53-02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>   - 2 02 04999 10 0001 151  Иные межбюджетные трансферты бюджетам поселений на 3 000 000,00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   0102 0020300 500 211 на сумму 287 190,00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0102 0020300 500 213 на сумму 96 180,00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500 211 на сумму 1 195 997,00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500 213 на сумму 383 700,00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500 221 на сумму 30 000,00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500 223 на сумму 90 000,00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500 225 на сумму 52 123,00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500 226 на сумму 50 000,00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500 340 на сумму 80 000,00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0020800 500 211 на сумму 209 969,00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0020800 500 213 на сумму 75 241,00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6000100 006 241на сумму  204 900,00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6000200 006 241 на сумму 109 000,00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6000203 500 225 на сумму 135 700,00 рублей.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вступает в силу со дня принятия и подлежит официальному опубликованию (обнародованию).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C25C40" w:rsidRDefault="00C25C40" w:rsidP="00C25C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     Л.И.Довгаль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40"/>
    <w:rsid w:val="00C25C4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5AA53-6EC5-4425-A4D1-5F273F0F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2024-03-01T02:23:00Z</dcterms:created>
  <dcterms:modified xsi:type="dcterms:W3CDTF">2024-03-01T02:23:00Z</dcterms:modified>
</cp:coreProperties>
</file>