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Пятьдесят четвертое заседание второго созыва</w:t>
      </w:r>
    </w:p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от 31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декабря  2010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                                                           №206/54-02</w:t>
      </w:r>
    </w:p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2010 год</w:t>
      </w:r>
    </w:p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 xml:space="preserve">1. Уменьшить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18.12.2009 г. №106/28-02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по кодам бюджетной классификации источников финансирования дефицитов бюджетов: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- 2 02 04999 10 0001 151  Иные межбюджетные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трансфетры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бюджетам поселений на 115 200,00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1.1. Уменьшить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   0503 6000100 006 241на сумму  44 360,31 рублей</w:t>
      </w:r>
      <w:r>
        <w:rPr>
          <w:rFonts w:ascii="Arial" w:hAnsi="Arial" w:cs="Arial"/>
          <w:color w:val="333333"/>
          <w:sz w:val="21"/>
          <w:szCs w:val="21"/>
        </w:rPr>
        <w:br/>
        <w:t>   0503 6000200 006 241 на сумму 70 839,69 рублей</w:t>
      </w:r>
      <w:r>
        <w:rPr>
          <w:rFonts w:ascii="Arial" w:hAnsi="Arial" w:cs="Arial"/>
          <w:color w:val="333333"/>
          <w:sz w:val="21"/>
          <w:szCs w:val="21"/>
        </w:rPr>
        <w:br/>
        <w:t>   2. Настоящее Решение вступает в силу со дня принятия и подлежит официальному опубликованию (обнародованию).</w:t>
      </w:r>
      <w:r>
        <w:rPr>
          <w:rFonts w:ascii="Arial" w:hAnsi="Arial" w:cs="Arial"/>
          <w:color w:val="333333"/>
          <w:sz w:val="21"/>
          <w:szCs w:val="21"/>
        </w:rPr>
        <w:br/>
        <w:t>   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492679" w:rsidRDefault="00492679" w:rsidP="004926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79"/>
    <w:rsid w:val="0049267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4CD26-FD3C-4C87-AEF2-228ADF2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2024-03-01T02:15:00Z</dcterms:created>
  <dcterms:modified xsi:type="dcterms:W3CDTF">2024-03-01T02:15:00Z</dcterms:modified>
</cp:coreProperties>
</file>