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05" w:rsidRPr="00DD1005" w:rsidRDefault="00DD1005" w:rsidP="00DD1005">
      <w:pPr>
        <w:shd w:val="clear" w:color="auto" w:fill="FFFFFF"/>
        <w:spacing w:after="150" w:line="240" w:lineRule="auto"/>
        <w:jc w:val="center"/>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МЕТОДИЧЕСКИЕ РЕКОМЕНДАЦИИ</w:t>
      </w:r>
    </w:p>
    <w:p w:rsidR="00DD1005" w:rsidRPr="00DD1005" w:rsidRDefault="00DD1005" w:rsidP="00DD1005">
      <w:pPr>
        <w:shd w:val="clear" w:color="auto" w:fill="FFFFFF"/>
        <w:spacing w:after="150" w:line="240" w:lineRule="auto"/>
        <w:jc w:val="center"/>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p>
    <w:p w:rsidR="00DD1005" w:rsidRPr="00DD1005" w:rsidRDefault="00DD1005" w:rsidP="00DD1005">
      <w:pPr>
        <w:shd w:val="clear" w:color="auto" w:fill="FFFFFF"/>
        <w:spacing w:after="150" w:line="240" w:lineRule="auto"/>
        <w:jc w:val="center"/>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2020году (за отчетный 2019год)</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DD1005">
          <w:rPr>
            <w:rFonts w:ascii="Arial" w:eastAsia="Times New Roman" w:hAnsi="Arial" w:cs="Arial"/>
            <w:color w:val="0088CC"/>
            <w:sz w:val="21"/>
            <w:szCs w:val="21"/>
            <w:u w:val="single"/>
            <w:lang w:eastAsia="ru-RU"/>
          </w:rPr>
          <w:t>методические рекомендации</w:t>
        </w:r>
      </w:hyperlink>
      <w:r w:rsidRPr="00DD1005">
        <w:rPr>
          <w:rFonts w:ascii="Arial" w:eastAsia="Times New Roman" w:hAnsi="Arial" w:cs="Arial"/>
          <w:color w:val="333333"/>
          <w:sz w:val="21"/>
          <w:szCs w:val="21"/>
          <w:lang w:eastAsia="ru-RU"/>
        </w:rPr>
        <w:t> и другие инструктивно-методические материалы по данным вопросам.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свою очередь,исходя из Типового положения о подразделении федерального государственного органапо профилактике коррупционных и иных правонарушений, Типового положенияоб органе субъекта Российской Федерации по профилактикекоррупционных и иных правонарушений, утвержденными Указом Президента Российской Федерации от 15 июля 2015 г. № 364 «О мерах по совершенствованию организации деятельности в области противодействия коррупции»,уполномоченными на оказаниеконсультативной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D1005" w:rsidRPr="00DD1005" w:rsidRDefault="00DD1005" w:rsidP="00DD100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lastRenderedPageBreak/>
        <w:t>Представление сведений о доходах, расходах,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об имуществе и обязательствах имущественного характера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Лица, обязанные представлять сведения о доходах, расходах, об имуществе и обязательствах имущественного характера</w:t>
      </w:r>
    </w:p>
    <w:p w:rsidR="00DD1005" w:rsidRPr="00DD1005" w:rsidRDefault="00DD1005" w:rsidP="00DD100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государственными и муниципальными служащими, замещающими должности, включенные в </w:t>
      </w:r>
      <w:hyperlink r:id="rId6" w:history="1">
        <w:r w:rsidRPr="00DD1005">
          <w:rPr>
            <w:rFonts w:ascii="Arial" w:eastAsia="Times New Roman" w:hAnsi="Arial" w:cs="Arial"/>
            <w:color w:val="0088CC"/>
            <w:sz w:val="21"/>
            <w:szCs w:val="21"/>
            <w:u w:val="single"/>
            <w:lang w:eastAsia="ru-RU"/>
          </w:rPr>
          <w:t>перечни</w:t>
        </w:r>
      </w:hyperlink>
      <w:r w:rsidRPr="00DD1005">
        <w:rPr>
          <w:rFonts w:ascii="Arial" w:eastAsia="Times New Roman" w:hAnsi="Arial" w:cs="Arial"/>
          <w:color w:val="333333"/>
          <w:sz w:val="21"/>
          <w:szCs w:val="21"/>
          <w:lang w:eastAsia="ru-RU"/>
        </w:rPr>
        <w:t>, утвержденные нормативными правовыми актами Российской Федерации;</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DD1005">
          <w:rPr>
            <w:rFonts w:ascii="Arial" w:eastAsia="Times New Roman" w:hAnsi="Arial" w:cs="Arial"/>
            <w:color w:val="0088CC"/>
            <w:sz w:val="21"/>
            <w:szCs w:val="21"/>
            <w:u w:val="single"/>
            <w:lang w:eastAsia="ru-RU"/>
          </w:rPr>
          <w:t>перечень</w:t>
        </w:r>
      </w:hyperlink>
      <w:r w:rsidRPr="00DD1005">
        <w:rPr>
          <w:rFonts w:ascii="Arial" w:eastAsia="Times New Roman" w:hAnsi="Arial" w:cs="Arial"/>
          <w:color w:val="333333"/>
          <w:sz w:val="21"/>
          <w:szCs w:val="21"/>
          <w:lang w:eastAsia="ru-RU"/>
        </w:rPr>
        <w:t>, утвержденный Советом директоров Центрального банка Российской Федерации;</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w:t>
      </w:r>
      <w:r w:rsidRPr="00DD1005">
        <w:rPr>
          <w:rFonts w:ascii="Arial" w:eastAsia="Times New Roman" w:hAnsi="Arial" w:cs="Arial"/>
          <w:color w:val="333333"/>
          <w:sz w:val="21"/>
          <w:szCs w:val="21"/>
          <w:lang w:eastAsia="ru-RU"/>
        </w:rPr>
        <w:lastRenderedPageBreak/>
        <w:t>основании трудового договора в данных организациях, включенные в </w:t>
      </w:r>
      <w:hyperlink r:id="rId8" w:history="1">
        <w:r w:rsidRPr="00DD1005">
          <w:rPr>
            <w:rFonts w:ascii="Arial" w:eastAsia="Times New Roman" w:hAnsi="Arial" w:cs="Arial"/>
            <w:color w:val="0088CC"/>
            <w:sz w:val="21"/>
            <w:szCs w:val="21"/>
            <w:u w:val="single"/>
            <w:lang w:eastAsia="ru-RU"/>
          </w:rPr>
          <w:t>перечни</w:t>
        </w:r>
      </w:hyperlink>
      <w:r w:rsidRPr="00DD1005">
        <w:rPr>
          <w:rFonts w:ascii="Arial" w:eastAsia="Times New Roman" w:hAnsi="Arial" w:cs="Arial"/>
          <w:color w:val="333333"/>
          <w:sz w:val="21"/>
          <w:szCs w:val="21"/>
          <w:lang w:eastAsia="ru-RU"/>
        </w:rPr>
        <w:t>, утвержденные федеральными государственными органами;</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DD1005" w:rsidRPr="00DD1005" w:rsidRDefault="00DD1005" w:rsidP="00DD100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иными лицами в соответствии с законодательством Российской Федерации.</w:t>
      </w:r>
    </w:p>
    <w:p w:rsidR="00DD1005" w:rsidRPr="00DD1005" w:rsidRDefault="00DD1005" w:rsidP="00DD100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государственной должности Российской Федерации, государственной должности субъекта Российской Федерации, муниципальной должности;</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любой должности государственной службы (поступающим на службу);</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муниципальной службы, включенной в перечни, утвержденные нормативными правовыми актами Российской Федерации;</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DD1005">
          <w:rPr>
            <w:rFonts w:ascii="Arial" w:eastAsia="Times New Roman" w:hAnsi="Arial" w:cs="Arial"/>
            <w:color w:val="0088CC"/>
            <w:sz w:val="21"/>
            <w:szCs w:val="21"/>
            <w:u w:val="single"/>
            <w:lang w:eastAsia="ru-RU"/>
          </w:rPr>
          <w:t>перечень</w:t>
        </w:r>
      </w:hyperlink>
      <w:r w:rsidRPr="00DD1005">
        <w:rPr>
          <w:rFonts w:ascii="Arial" w:eastAsia="Times New Roman" w:hAnsi="Arial" w:cs="Arial"/>
          <w:color w:val="333333"/>
          <w:sz w:val="21"/>
          <w:szCs w:val="21"/>
          <w:lang w:eastAsia="ru-RU"/>
        </w:rPr>
        <w:t>, утвержденный Советом директоров Центрального банка Российской Федерации;</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DD1005">
          <w:rPr>
            <w:rFonts w:ascii="Arial" w:eastAsia="Times New Roman" w:hAnsi="Arial" w:cs="Arial"/>
            <w:color w:val="0088CC"/>
            <w:sz w:val="21"/>
            <w:szCs w:val="21"/>
            <w:u w:val="single"/>
            <w:lang w:eastAsia="ru-RU"/>
          </w:rPr>
          <w:t>перечни</w:t>
        </w:r>
      </w:hyperlink>
      <w:r w:rsidRPr="00DD1005">
        <w:rPr>
          <w:rFonts w:ascii="Arial" w:eastAsia="Times New Roman" w:hAnsi="Arial" w:cs="Arial"/>
          <w:color w:val="333333"/>
          <w:sz w:val="21"/>
          <w:szCs w:val="21"/>
          <w:lang w:eastAsia="ru-RU"/>
        </w:rPr>
        <w:t>, утвержденные федеральными государственными органами;</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финансового уполномоченного, руководителя службы обеспечения деятельности финансового уполномоченного;</w:t>
      </w:r>
    </w:p>
    <w:p w:rsidR="00DD1005" w:rsidRPr="00DD1005" w:rsidRDefault="00DD1005" w:rsidP="00DD100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иных должностей в соответствии с законодательством Российской Федерации.</w:t>
      </w:r>
    </w:p>
    <w:p w:rsidR="00DD1005" w:rsidRPr="00DD1005" w:rsidRDefault="00DD1005" w:rsidP="00DD100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DD1005">
          <w:rPr>
            <w:rFonts w:ascii="Arial" w:eastAsia="Times New Roman" w:hAnsi="Arial" w:cs="Arial"/>
            <w:color w:val="0088CC"/>
            <w:sz w:val="21"/>
            <w:szCs w:val="21"/>
            <w:u w:val="single"/>
            <w:lang w:eastAsia="ru-RU"/>
          </w:rPr>
          <w:t>перечнем</w:t>
        </w:r>
      </w:hyperlink>
      <w:r w:rsidRPr="00DD1005">
        <w:rPr>
          <w:rFonts w:ascii="Arial" w:eastAsia="Times New Roman" w:hAnsi="Arial" w:cs="Arial"/>
          <w:color w:val="333333"/>
          <w:sz w:val="21"/>
          <w:szCs w:val="21"/>
          <w:lang w:eastAsia="ru-RU"/>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w:t>
      </w:r>
      <w:r w:rsidRPr="00DD1005">
        <w:rPr>
          <w:rFonts w:ascii="Arial" w:eastAsia="Times New Roman" w:hAnsi="Arial" w:cs="Arial"/>
          <w:color w:val="333333"/>
          <w:sz w:val="21"/>
          <w:szCs w:val="21"/>
          <w:lang w:eastAsia="ru-RU"/>
        </w:rPr>
        <w:lastRenderedPageBreak/>
        <w:t>должности государственной службы в данном государственном органе, предусмотренной этим перечнем.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Обязательность представления сведений</w:t>
      </w:r>
    </w:p>
    <w:p w:rsidR="00DD1005" w:rsidRPr="00DD1005" w:rsidRDefault="00DD1005" w:rsidP="00DD1005">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D1005" w:rsidRPr="00DD1005" w:rsidRDefault="00DD1005" w:rsidP="00DD1005">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 7 настоящих Методических рекомендаций.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Сроки представления сведений</w:t>
      </w:r>
    </w:p>
    <w:p w:rsidR="00DD1005" w:rsidRPr="00DD1005" w:rsidRDefault="00DD1005" w:rsidP="00DD100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D1005" w:rsidRPr="00DD1005" w:rsidRDefault="00DD1005" w:rsidP="00DD1005">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Служащие (работники) представляют сведения ежегодно в следующие сроки:</w:t>
      </w:r>
    </w:p>
    <w:p w:rsidR="00DD1005" w:rsidRPr="00DD1005" w:rsidRDefault="00DD1005" w:rsidP="00DD100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D1005" w:rsidRPr="00DD1005" w:rsidRDefault="00DD1005" w:rsidP="00DD100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DD1005" w:rsidRPr="00DD1005" w:rsidRDefault="00DD1005" w:rsidP="00DD1005">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могут быть представлены служащим (работником) в любое время, начиная с 1 января года, следующего за отчетным.</w:t>
      </w:r>
    </w:p>
    <w:p w:rsidR="00DD1005" w:rsidRPr="00DD1005" w:rsidRDefault="00DD1005" w:rsidP="00DD1005">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D1005" w:rsidRPr="00DD1005" w:rsidRDefault="00DD1005" w:rsidP="00DD1005">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Лица, в отношении которых представляются сведения</w:t>
      </w:r>
    </w:p>
    <w:p w:rsidR="00DD1005" w:rsidRPr="00DD1005" w:rsidRDefault="00DD1005" w:rsidP="00DD100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представляются отдельно:</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в отношении служащего (работника),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в отношении его супруги (супруга),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в отношении каждого несовершеннолетнего ребенка служащего (работника).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D1005" w:rsidRPr="00DD1005" w:rsidRDefault="00DD1005" w:rsidP="00DD100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Отчетный период и отчетная дата представления сведений</w:t>
      </w:r>
      <w:r w:rsidRPr="00DD1005">
        <w:rPr>
          <w:rFonts w:ascii="Arial" w:eastAsia="Times New Roman" w:hAnsi="Arial" w:cs="Arial"/>
          <w:color w:val="333333"/>
          <w:sz w:val="21"/>
          <w:szCs w:val="21"/>
          <w:lang w:eastAsia="ru-RU"/>
        </w:rPr>
        <w:t>, установленные для граждан и служащих (работников), различны:</w:t>
      </w:r>
    </w:p>
    <w:p w:rsidR="00DD1005" w:rsidRPr="00DD1005" w:rsidRDefault="00DD1005" w:rsidP="00DD100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гражданин представляет:</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а) сведения о своих доходах, доходах супруги (супруга) и несовершеннолетних детей, полученных за календарный год,предшествующий году подачи документов(с 1 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D1005" w:rsidRPr="00DD1005" w:rsidRDefault="00DD1005" w:rsidP="00DD1005">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служащий (работник) представляет ежегодно:</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а) сведения о своих доходах и расходах, доходах и расходах супруги (супруга) и несовершеннолетних детей, полученных за календарный год,предшествующий году представления сведений(с 1 января по 31 декабря), а также сведения о недвижимом имуществе, транспортных средствах и ценных бумагах, отчужденных в течение указанногопериода в результате безвозмездной сделки;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год,предшествующий году назначения(с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lastRenderedPageBreak/>
        <w:t> </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Замещение конкретной должности на отчетную дату как основание для представления сведений</w:t>
      </w:r>
    </w:p>
    <w:p w:rsidR="00DD1005" w:rsidRPr="00DD1005" w:rsidRDefault="00DD1005" w:rsidP="00DD1005">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D1005" w:rsidRPr="00DD1005" w:rsidRDefault="00DD1005" w:rsidP="00DD1005">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замещаемая им должность была включена в соответствующий перечень должностей, а сам служащий (работник) замещал указанную должность;</w:t>
      </w:r>
    </w:p>
    <w:p w:rsidR="00DD1005" w:rsidRPr="00DD1005" w:rsidRDefault="00DD1005" w:rsidP="00DD1005">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D1005" w:rsidRPr="00DD1005" w:rsidRDefault="00DD1005" w:rsidP="00DD1005">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D1005" w:rsidRPr="00DD1005" w:rsidRDefault="00DD1005" w:rsidP="00DD1005">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Представление сведений после увольнения служащего (работника) в период с 1 января по 1 (30) апреля 2020 г.не требуется.</w:t>
      </w:r>
    </w:p>
    <w:p w:rsidR="00DD1005" w:rsidRPr="00DD1005" w:rsidRDefault="00DD1005" w:rsidP="00DD1005">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Определение круга лиц (членов семьи), в отношении которых необходимо представить сведения</w:t>
      </w:r>
    </w:p>
    <w:p w:rsidR="00DD1005" w:rsidRPr="00DD1005" w:rsidRDefault="00DD1005" w:rsidP="00DD1005">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Супруги</w:t>
      </w:r>
    </w:p>
    <w:p w:rsidR="00DD1005" w:rsidRPr="00DD1005" w:rsidRDefault="00DD1005" w:rsidP="00DD1005">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DD1005" w:rsidRPr="00DD1005" w:rsidRDefault="00DD1005" w:rsidP="00DD1005">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Перечень ситуаций и рекомендуемые действия (таблица №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20"/>
        <w:gridCol w:w="5735"/>
      </w:tblGrid>
      <w:tr w:rsidR="00DD1005" w:rsidRPr="00DD1005" w:rsidTr="00DD1005">
        <w:tc>
          <w:tcPr>
            <w:tcW w:w="0" w:type="auto"/>
            <w:gridSpan w:val="2"/>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Пример: служащий (работник) представляет сведения в 2020 году</w:t>
            </w:r>
            <w:r w:rsidRPr="00DD1005">
              <w:rPr>
                <w:rFonts w:ascii="Arial" w:eastAsia="Times New Roman" w:hAnsi="Arial" w:cs="Arial"/>
                <w:color w:val="333333"/>
                <w:sz w:val="21"/>
                <w:szCs w:val="21"/>
                <w:lang w:eastAsia="ru-RU"/>
              </w:rPr>
              <w:br/>
              <w:t>(за отчетный 2019г.)</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заключен в органах записи актов гражданского состояния (далее – ЗАГС) в ноябре 2019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супруги (супруга) представляются, поскольку по состоянию на отчетную дату (31 декабря 2019года) служащий (работник) состоял в браке</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заключен в ЗАГСе в марте 2020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DD1005" w:rsidRPr="00DD1005" w:rsidTr="00DD1005">
        <w:tc>
          <w:tcPr>
            <w:tcW w:w="0" w:type="auto"/>
            <w:gridSpan w:val="2"/>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заключен 1 февраля 2020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супруги представляются, поскольку по состоянию на отчетную дату (1 августа 2020 года) гражданин состоял в браке</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заключен 2 августа 2020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DD1005" w:rsidRPr="00DD1005" w:rsidRDefault="00DD1005" w:rsidP="00DD1005">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силу(а не в день принятия такого решения).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Перечень ситуаций и рекомендуемые действия (таблица №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1"/>
        <w:gridCol w:w="5994"/>
      </w:tblGrid>
      <w:tr w:rsidR="00DD1005" w:rsidRPr="00DD1005" w:rsidTr="00DD1005">
        <w:tc>
          <w:tcPr>
            <w:tcW w:w="0" w:type="auto"/>
            <w:gridSpan w:val="2"/>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Пример: служащий (работник) представляет сведения в 2020 году (за отчетный 2019 г.)</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был расторгнут в ЗАГСе в ноябре 2019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Окончательное решение о расторжении брака было принято судом 12 декабря 2019 года и вступило в законную силу 12 января 2020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был расторгнут в ЗАГСе в марте 2020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DD1005" w:rsidRPr="00DD1005" w:rsidTr="00DD1005">
        <w:tc>
          <w:tcPr>
            <w:tcW w:w="0" w:type="auto"/>
            <w:gridSpan w:val="2"/>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был расторгнут в ЗАГСе 1 июля 2020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Брак был расторгнут в ЗАГСе 2 августа 2020 года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Окончательное решение о расторжении брака было принято судом 4 июля2020 года и вступило в законную силу 4 августа 2020 г.</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Несовершеннолетние дети</w:t>
      </w:r>
    </w:p>
    <w:p w:rsidR="00DD1005" w:rsidRPr="00DD1005" w:rsidRDefault="00DD1005" w:rsidP="00DD1005">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D1005" w:rsidRPr="00DD1005" w:rsidRDefault="00DD1005" w:rsidP="00DD1005">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Перечень ситуаций и рекомендуемые действия (таблица №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9"/>
        <w:gridCol w:w="6346"/>
      </w:tblGrid>
      <w:tr w:rsidR="00DD1005" w:rsidRPr="00DD1005" w:rsidTr="00DD1005">
        <w:tc>
          <w:tcPr>
            <w:tcW w:w="0" w:type="auto"/>
            <w:gridSpan w:val="2"/>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Пример: служащий (работник) представляет сведения в 2020 году (за отчетный2019 г.)</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Дочери служащего (работника)21 мая 2019 года исполнилось 18 лет</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Дочери служащего (работника) 30 декабря 2019 года исполнилось 18 лет</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Дочери служащего (работника)31 декабря 2019 года исполнилось 18 лет</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DD1005" w:rsidRPr="00DD1005" w:rsidTr="00DD1005">
        <w:tc>
          <w:tcPr>
            <w:tcW w:w="0" w:type="auto"/>
            <w:gridSpan w:val="2"/>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Пример: гражданин представляет в сентябре 2020 года сведения в связи с назначением на должность. Отчетной датой является 1 августа 2020года</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Сыну гражданина 5 мая 2020 года исполнилось 18 лет</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Сыну гражданина 1 августа 2020 года исполнилось 18 лет</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Сыну гражданина 17 августа 2020 года исполнилось 18 лет</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DD1005" w:rsidRPr="00DD1005" w:rsidRDefault="00DD1005" w:rsidP="00DD1005">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w:t>
      </w:r>
      <w:r w:rsidRPr="00DD1005">
        <w:rPr>
          <w:rFonts w:ascii="Arial" w:eastAsia="Times New Roman" w:hAnsi="Arial" w:cs="Arial"/>
          <w:color w:val="333333"/>
          <w:sz w:val="21"/>
          <w:szCs w:val="21"/>
          <w:lang w:eastAsia="ru-RU"/>
        </w:rPr>
        <w:lastRenderedPageBreak/>
        <w:t>супруга (супруг) является опекуном (попечителем) или его супруга (супруг) является усыновителем такого ребенка, не является нарушением.</w:t>
      </w:r>
    </w:p>
    <w:p w:rsidR="00DD1005" w:rsidRPr="00DD1005" w:rsidRDefault="00DD1005" w:rsidP="00DD1005">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Уточнение представленных сведений</w:t>
      </w:r>
    </w:p>
    <w:p w:rsidR="00DD1005" w:rsidRPr="00DD1005" w:rsidRDefault="00DD1005" w:rsidP="00DD1005">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D1005" w:rsidRPr="00DD1005" w:rsidRDefault="00DD1005" w:rsidP="00DD1005">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D1005" w:rsidRPr="00DD1005" w:rsidRDefault="00DD1005" w:rsidP="00DD1005">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именнов срок до 1 (31) мая года, следующего за отчетным.</w:t>
      </w:r>
    </w:p>
    <w:p w:rsidR="00DD1005" w:rsidRPr="00DD1005" w:rsidRDefault="00DD1005" w:rsidP="00DD1005">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Рекомендуемые действия при невозможности представить сведения в отношении члена семьи</w:t>
      </w:r>
    </w:p>
    <w:p w:rsidR="00DD1005" w:rsidRPr="00DD1005" w:rsidRDefault="00DD1005" w:rsidP="00DD1005">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w:t>
      </w:r>
      <w:r w:rsidRPr="00DD1005">
        <w:rPr>
          <w:rFonts w:ascii="Arial" w:eastAsia="Times New Roman" w:hAnsi="Arial" w:cs="Arial"/>
          <w:color w:val="333333"/>
          <w:sz w:val="21"/>
          <w:szCs w:val="21"/>
          <w:lang w:eastAsia="ru-RU"/>
        </w:rPr>
        <w:lastRenderedPageBreak/>
        <w:t>об имуществе и обязательствах имущественного характера, утвержденную Указом Президента Российской Федерации от 23 июня 2014 г. № 460».</w:t>
      </w:r>
    </w:p>
    <w:p w:rsidR="00DD1005" w:rsidRPr="00DD1005" w:rsidRDefault="00DD1005" w:rsidP="00DD1005">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Заявление должно быть направлено до истечения срока, установленного для представления служащим (работником) сведений.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Заявление подается (таблица №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3"/>
        <w:gridCol w:w="4572"/>
      </w:tblGrid>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Управление Президента Российской Федерации по вопросам противодействия коррупции</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Департамент государственной службы и кадров Правительства Российской Федерации</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подразделение кадровой службы федерального государственного органа по профилактике коррупционных и иных правонарушений</w:t>
            </w:r>
          </w:p>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DD1005">
              <w:rPr>
                <w:rFonts w:ascii="Arial" w:eastAsia="Times New Roman" w:hAnsi="Arial" w:cs="Arial"/>
                <w:color w:val="333333"/>
                <w:sz w:val="21"/>
                <w:szCs w:val="21"/>
                <w:lang w:eastAsia="ru-RU"/>
              </w:rPr>
              <w:lastRenderedPageBreak/>
              <w:t>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w:t>
            </w:r>
            <w:r w:rsidRPr="00DD1005">
              <w:rPr>
                <w:rFonts w:ascii="Arial" w:eastAsia="Times New Roman" w:hAnsi="Arial" w:cs="Arial"/>
                <w:color w:val="333333"/>
                <w:sz w:val="21"/>
                <w:szCs w:val="21"/>
                <w:lang w:eastAsia="ru-RU"/>
              </w:rPr>
              <w:lastRenderedPageBreak/>
              <w:t>корпораций (компаний, публично-правовых компаний)и иных организаций, созданных на основании федеральных законов</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В подразделение по профилактике коррупционных и иных правонарушений Центрального банка Российской Федерации</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D1005" w:rsidRPr="00DD1005" w:rsidRDefault="00DD1005" w:rsidP="00DD1005">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служащих (работников) право направить заявление о невозможности представить сведения о </w:t>
      </w:r>
      <w:r w:rsidRPr="00DD1005">
        <w:rPr>
          <w:rFonts w:ascii="Arial" w:eastAsia="Times New Roman" w:hAnsi="Arial" w:cs="Arial"/>
          <w:b/>
          <w:bCs/>
          <w:color w:val="333333"/>
          <w:sz w:val="21"/>
          <w:szCs w:val="21"/>
          <w:lang w:eastAsia="ru-RU"/>
        </w:rPr>
        <w:t>своих</w:t>
      </w:r>
      <w:r w:rsidRPr="00DD1005">
        <w:rPr>
          <w:rFonts w:ascii="Arial" w:eastAsia="Times New Roman" w:hAnsi="Arial" w:cs="Arial"/>
          <w:color w:val="333333"/>
          <w:sz w:val="21"/>
          <w:szCs w:val="21"/>
          <w:lang w:eastAsia="ru-RU"/>
        </w:rPr>
        <w:t> доходах, расходах, об имуществе и обязательствах имущественного характера законодательством не предусмотрено.</w:t>
      </w:r>
    </w:p>
    <w:p w:rsidR="00DD1005" w:rsidRPr="00DD1005" w:rsidRDefault="00DD1005" w:rsidP="00DD1005">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w:t>
      </w:r>
    </w:p>
    <w:p w:rsidR="00DD1005" w:rsidRPr="00DD1005" w:rsidRDefault="00DD1005" w:rsidP="00DD1005">
      <w:pPr>
        <w:numPr>
          <w:ilvl w:val="0"/>
          <w:numId w:val="2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II. Заполнение справки о доходах, расходах, об имуществе и обязательствах имущественного характера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 </w:t>
      </w:r>
    </w:p>
    <w:p w:rsidR="00DD1005" w:rsidRPr="00DD1005" w:rsidRDefault="00DD1005" w:rsidP="00DD100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DD1005" w:rsidRPr="00DD1005" w:rsidRDefault="00DD1005" w:rsidP="00DD100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D1005" w:rsidRPr="00DD1005" w:rsidRDefault="00DD1005" w:rsidP="00DD100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БК»(далее – СПО «Справки БК»).</w:t>
      </w:r>
    </w:p>
    <w:p w:rsidR="00DD1005" w:rsidRPr="00DD1005" w:rsidRDefault="00DD1005" w:rsidP="00DD100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СПО «Справки БК» размещено на официальном сайте Президента Российской Федерациипо ссылке: </w:t>
      </w:r>
      <w:hyperlink r:id="rId12" w:history="1">
        <w:r w:rsidRPr="00DD1005">
          <w:rPr>
            <w:rFonts w:ascii="Arial" w:eastAsia="Times New Roman" w:hAnsi="Arial" w:cs="Arial"/>
            <w:color w:val="0088CC"/>
            <w:sz w:val="21"/>
            <w:szCs w:val="21"/>
            <w:u w:val="single"/>
            <w:lang w:eastAsia="ru-RU"/>
          </w:rPr>
          <w:t>http://www.kremlin.ru/structure/additional/12</w:t>
        </w:r>
      </w:hyperlink>
      <w:r w:rsidRPr="00DD1005">
        <w:rPr>
          <w:rFonts w:ascii="Arial" w:eastAsia="Times New Roman" w:hAnsi="Arial" w:cs="Arial"/>
          <w:color w:val="333333"/>
          <w:sz w:val="21"/>
          <w:szCs w:val="21"/>
          <w:lang w:eastAsia="ru-RU"/>
        </w:rPr>
        <w:t>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3" w:history="1">
        <w:r w:rsidRPr="00DD1005">
          <w:rPr>
            <w:rFonts w:ascii="Arial" w:eastAsia="Times New Roman" w:hAnsi="Arial" w:cs="Arial"/>
            <w:color w:val="0088CC"/>
            <w:sz w:val="21"/>
            <w:szCs w:val="21"/>
            <w:u w:val="single"/>
            <w:lang w:eastAsia="ru-RU"/>
          </w:rPr>
          <w:t>https://gossluzhba.gov.ru/page/index/spravki_bk</w:t>
        </w:r>
      </w:hyperlink>
      <w:r w:rsidRPr="00DD1005">
        <w:rPr>
          <w:rFonts w:ascii="Arial" w:eastAsia="Times New Roman" w:hAnsi="Arial" w:cs="Arial"/>
          <w:color w:val="333333"/>
          <w:sz w:val="21"/>
          <w:szCs w:val="21"/>
          <w:lang w:eastAsia="ru-RU"/>
        </w:rPr>
        <w:t>.</w:t>
      </w:r>
    </w:p>
    <w:p w:rsidR="00DD1005" w:rsidRPr="00DD1005" w:rsidRDefault="00DD1005" w:rsidP="00DD1005">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Одновременно необходимо не допускать ситуаций, при которых дата и время печати справки будут отличаться на листах справки.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для печати справок используется лазерный принтер, обеспечивающий качественную печать.</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не допускаются дефекты печати в виде полос, пятен (при дефектах барабана или картриджа принтера).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не допускается наличие подписи и пометок на линейных и двумерных штрих-кодах.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Кроме того, листы одной справки не следует менять или вставлять в другие справки, даже если они содержат идентичную информацию.</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Справки не рекомендуется прошивать и фиксировать скрепкой.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Также рекомендуется обеспечить печать справки и ее заверение в течение одного дня.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Печатать справки рекомендуется только на одной стороне листа.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ТИТУЛЬНЫЙ ЛИСТ</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 </w:t>
      </w:r>
    </w:p>
    <w:p w:rsidR="00DD1005" w:rsidRPr="00DD1005" w:rsidRDefault="00DD1005" w:rsidP="00DD1005">
      <w:pPr>
        <w:numPr>
          <w:ilvl w:val="0"/>
          <w:numId w:val="2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титульного листа справки рекомендуется обратить внимание на следующее: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фамилия, имя и отчество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дата рождения (год рождения) указывается в соответствии с записью в документе, удостоверяющем личность;</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w:t>
      </w:r>
      <w:r w:rsidRPr="00DD1005">
        <w:rPr>
          <w:rFonts w:ascii="Arial" w:eastAsia="Times New Roman" w:hAnsi="Arial" w:cs="Arial"/>
          <w:color w:val="333333"/>
          <w:sz w:val="21"/>
          <w:szCs w:val="21"/>
          <w:lang w:eastAsia="ru-RU"/>
        </w:rPr>
        <w:lastRenderedPageBreak/>
        <w:t>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справки лицом, замещающим муниципальную должность на непостоянной основе, указывается муниципальная должность;</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5) 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Неуказание страхового номера индивидуального лицевого счета (СНИЛС)в справке, заполняемой с использованием СПО «Справки БК», не является нарушением.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РАЗДЕЛ 1. СВЕДЕНИЯ О ДОХОДАХ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 </w:t>
      </w:r>
    </w:p>
    <w:p w:rsidR="00DD1005" w:rsidRPr="00DD1005" w:rsidRDefault="00DD1005" w:rsidP="00DD1005">
      <w:pPr>
        <w:numPr>
          <w:ilvl w:val="0"/>
          <w:numId w:val="3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Доход по основному месту работы</w:t>
      </w:r>
    </w:p>
    <w:p w:rsidR="00DD1005" w:rsidRPr="00DD1005" w:rsidRDefault="00DD1005" w:rsidP="00DD1005">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данной строке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форме2-НДФЛ, выдаваемой по месту службы (работы) (графа 5.1 «Общая сумма дохода»).Если по основному месту работы получен доход, который не включен в справку по форме 2-НДФЛ, он подлежит указанию в иных доходах.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DD1005" w:rsidRPr="00DD1005" w:rsidRDefault="00DD1005" w:rsidP="00DD1005">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w:t>
      </w:r>
      <w:r w:rsidRPr="00DD1005">
        <w:rPr>
          <w:rFonts w:ascii="Arial" w:eastAsia="Times New Roman" w:hAnsi="Arial" w:cs="Arial"/>
          <w:color w:val="333333"/>
          <w:sz w:val="21"/>
          <w:szCs w:val="21"/>
          <w:lang w:eastAsia="ru-RU"/>
        </w:rPr>
        <w:lastRenderedPageBreak/>
        <w:t>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Особенности заполнения данного раздела отдельными категориямилиц</w:t>
      </w:r>
    </w:p>
    <w:p w:rsidR="00DD1005" w:rsidRPr="00DD1005" w:rsidRDefault="00DD1005" w:rsidP="00DD1005">
      <w:pPr>
        <w:numPr>
          <w:ilvl w:val="0"/>
          <w:numId w:val="3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при применении системы налогообложения в виде единого налога на вмененный доход для отдельных видов деятельности (ЕНВД)в качестве«дохода» указываетсявеличина вмененного дохода;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DD1005" w:rsidRPr="00DD1005" w:rsidRDefault="00DD1005" w:rsidP="00DD1005">
      <w:pPr>
        <w:numPr>
          <w:ilvl w:val="0"/>
          <w:numId w:val="3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D1005" w:rsidRPr="00DD1005" w:rsidRDefault="00DD1005" w:rsidP="00DD1005">
      <w:pPr>
        <w:numPr>
          <w:ilvl w:val="0"/>
          <w:numId w:val="3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Доход от педагогической и научной деятельности</w:t>
      </w:r>
    </w:p>
    <w:p w:rsidR="00DD1005" w:rsidRPr="00DD1005" w:rsidRDefault="00DD1005" w:rsidP="00DD1005">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D1005" w:rsidRPr="00DD1005" w:rsidRDefault="00DD1005" w:rsidP="00DD1005">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Доход от иной творческой деятельности</w:t>
      </w:r>
    </w:p>
    <w:p w:rsidR="00DD1005" w:rsidRPr="00DD1005" w:rsidRDefault="00DD1005" w:rsidP="00DD1005">
      <w:pPr>
        <w:numPr>
          <w:ilvl w:val="0"/>
          <w:numId w:val="3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DD1005" w:rsidRPr="00DD1005" w:rsidRDefault="00DD1005" w:rsidP="00DD1005">
      <w:pPr>
        <w:numPr>
          <w:ilvl w:val="0"/>
          <w:numId w:val="3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Доход от вкладов в банках и иных кредитных организациях</w:t>
      </w:r>
    </w:p>
    <w:p w:rsidR="00DD1005" w:rsidRPr="00DD1005" w:rsidRDefault="00DD1005" w:rsidP="00DD1005">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D1005" w:rsidRPr="00DD1005" w:rsidRDefault="00DD1005" w:rsidP="00DD1005">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DD1005" w:rsidRPr="00DD1005" w:rsidRDefault="00DD1005" w:rsidP="00DD1005">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 полученный в иностранной валюте, указывается в рублях по курсу Банка России на дату получения дохода.</w:t>
      </w:r>
    </w:p>
    <w:p w:rsidR="00DD1005" w:rsidRPr="00DD1005" w:rsidRDefault="00DD1005" w:rsidP="00DD1005">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D1005" w:rsidRPr="00DD1005" w:rsidRDefault="00DD1005" w:rsidP="00DD1005">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DD1005">
          <w:rPr>
            <w:rFonts w:ascii="Arial" w:eastAsia="Times New Roman" w:hAnsi="Arial" w:cs="Arial"/>
            <w:color w:val="0088CC"/>
            <w:sz w:val="21"/>
            <w:szCs w:val="21"/>
            <w:u w:val="single"/>
            <w:lang w:eastAsia="ru-RU"/>
          </w:rPr>
          <w:t>http://www.cbr.ru/currency_base/daily.aspx</w:t>
        </w:r>
      </w:hyperlink>
      <w:r w:rsidRPr="00DD1005">
        <w:rPr>
          <w:rFonts w:ascii="Arial" w:eastAsia="Times New Roman" w:hAnsi="Arial" w:cs="Arial"/>
          <w:color w:val="333333"/>
          <w:sz w:val="21"/>
          <w:szCs w:val="21"/>
          <w:lang w:eastAsia="ru-RU"/>
        </w:rPr>
        <w:t>.</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D1005" w:rsidRPr="00DD1005" w:rsidRDefault="00DD1005" w:rsidP="00DD1005">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Не рекомендуется проводить какие-либо самостоятельные расчеты, поскольку вероятно возникновение различного рода ошибок.</w:t>
      </w:r>
    </w:p>
    <w:p w:rsidR="00DD1005" w:rsidRPr="00DD1005" w:rsidRDefault="00DD1005" w:rsidP="00DD1005">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D1005" w:rsidRPr="00DD1005" w:rsidRDefault="00DD1005" w:rsidP="00DD1005">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Доход от ценных бумаг и долей участия в коммерческих организациях</w:t>
      </w:r>
    </w:p>
    <w:p w:rsidR="00DD1005" w:rsidRPr="00DD1005" w:rsidRDefault="00DD1005" w:rsidP="00DD1005">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Иные доходы</w:t>
      </w:r>
    </w:p>
    <w:p w:rsidR="00DD1005" w:rsidRPr="00DD1005" w:rsidRDefault="00DD1005" w:rsidP="00DD1005">
      <w:pPr>
        <w:numPr>
          <w:ilvl w:val="0"/>
          <w:numId w:val="4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данной строке указываются доходы, которые не были отражены в строках 1-5 справки.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 например, в строке иные доходы могут быть указаны:</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пенсия(при этом разные виды пенсий (по возрасту и пенсия военнослужащего) не следует суммировать);</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стипендия;</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w:t>
      </w:r>
      <w:r w:rsidRPr="00DD1005">
        <w:rPr>
          <w:rFonts w:ascii="Arial" w:eastAsia="Times New Roman" w:hAnsi="Arial" w:cs="Arial"/>
          <w:color w:val="333333"/>
          <w:sz w:val="21"/>
          <w:szCs w:val="21"/>
          <w:lang w:eastAsia="ru-RU"/>
        </w:rPr>
        <w:lastRenderedPageBreak/>
        <w:t>отчетном периоде на счет служащего(работника) либо его супруги(супруга) перечислены денежные средства данной выплаты);</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D1005" w:rsidRPr="00DD1005" w:rsidRDefault="00DD1005" w:rsidP="00DD1005">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проценты по долговым обязательствам;</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средства, полученные в порядке дарения или наследования;</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возмещение вреда, причиненного увечьем или иным повреждением здоровья;</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выплаты, связанные с гибелью (смертью), выплаченные наследникам;</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выигрыши в лотереях, тотализаторах, конкурсах и иных играх;</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выплатычленам профсоюзных организаций, полученные от данных профсоюзных организаций;</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вознаграждение, полученное при осуществлении опеки или попечительства на возмездной основе;</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средства, полученныев качестве оплаты услуг или товаров;</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доход, полученный по договорам переуступки прав требования на строящиеся объекты недвижимости;</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выплаченная ликвидационная стоимость ценных бумаг при ликвидации коммерческой организации;</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денежные средства, полученные в связи с прощением долга служащему (работнику), его супруге (супругу) или несовершеннолетним детям;</w:t>
      </w:r>
    </w:p>
    <w:p w:rsidR="00DD1005" w:rsidRPr="00DD1005" w:rsidRDefault="00DD1005" w:rsidP="00DD1005">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иные аналогичные выплаты.</w:t>
      </w:r>
    </w:p>
    <w:p w:rsidR="00DD1005" w:rsidRPr="00DD1005" w:rsidRDefault="00DD1005" w:rsidP="00DD1005">
      <w:pPr>
        <w:numPr>
          <w:ilvl w:val="0"/>
          <w:numId w:val="4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w:t>
      </w:r>
      <w:r w:rsidRPr="00DD1005">
        <w:rPr>
          <w:rFonts w:ascii="Arial" w:eastAsia="Times New Roman" w:hAnsi="Arial" w:cs="Arial"/>
          <w:color w:val="333333"/>
          <w:sz w:val="21"/>
          <w:szCs w:val="21"/>
          <w:lang w:eastAsia="ru-RU"/>
        </w:rPr>
        <w:lastRenderedPageBreak/>
        <w:t>поврежденного транспортного средства по договору страхования), а также виртуальных валют.</w:t>
      </w:r>
    </w:p>
    <w:p w:rsidR="00DD1005" w:rsidRPr="00DD1005" w:rsidRDefault="00DD1005" w:rsidP="00DD1005">
      <w:pPr>
        <w:numPr>
          <w:ilvl w:val="0"/>
          <w:numId w:val="4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 учетом целей антикоррупционного законодательства в строке 6 «Иные доходы»</w:t>
      </w:r>
      <w:r w:rsidRPr="00DD1005">
        <w:rPr>
          <w:rFonts w:ascii="Arial" w:eastAsia="Times New Roman" w:hAnsi="Arial" w:cs="Arial"/>
          <w:b/>
          <w:bCs/>
          <w:color w:val="333333"/>
          <w:sz w:val="21"/>
          <w:szCs w:val="21"/>
          <w:lang w:eastAsia="ru-RU"/>
        </w:rPr>
        <w:t> не указываются </w:t>
      </w:r>
      <w:r w:rsidRPr="00DD1005">
        <w:rPr>
          <w:rFonts w:ascii="Arial" w:eastAsia="Times New Roman" w:hAnsi="Arial" w:cs="Arial"/>
          <w:color w:val="333333"/>
          <w:sz w:val="21"/>
          <w:szCs w:val="21"/>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со служебными командировками за счет средств работодателя;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с оплатой стоимости и (или) выдачи полагающегося натурального довольствия, а также выплатой денежных средств взамен этого довольствия;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5) с приобретением проездных документов для исполнения служебных (должностных) обязанностей;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6) с оплатой коммунальных и иных услуг, наймом жилого помещения;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7) с внесением родительской платы за посещение дошкольного образовательного учреждения;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DD1005" w:rsidRPr="00DD1005" w:rsidRDefault="00DD1005" w:rsidP="00DD1005">
      <w:pPr>
        <w:numPr>
          <w:ilvl w:val="0"/>
          <w:numId w:val="4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Также не указываются сведения о денежных средствах, полученных: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в виде социального, имущественного, инвестиционного налогового вычета;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от продажи различного вида подарочных сертификатов (карт), выпущенных предприятиями торговли;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средств(«кэшбэк сервис»);</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5) в качестве возврата налога на добавленную стоимость, уплаченного при совершении покупок за границей, по чекам Tax-free;</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6) в качестве вознаграждения донорам за сданную кровь, ее компонентов(и иную помощь);</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10) в качестве перевода (между супругами и (или) несовершеннолетними детьми (аналогично в части, касающейся наличных денежных средств);</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11) в связи с возвратом денежных средств по несостоявшемуся договору купли-продажи;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12) в качестве возврата займа, денежных средств за купленные товары, а также в качествевозврата денежных средств за оплаченные за третьих лиц товары, работы и услуги, если факт такой оплаты может быть подтвержден;</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14) на специальный избирательный счет в соответствии с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DD1005" w:rsidRPr="00DD1005" w:rsidRDefault="00DD1005" w:rsidP="00DD1005">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РАЗДЕЛ 2. СВЕДЕНИЯ О РАСХОДАХ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 </w:t>
      </w:r>
    </w:p>
    <w:p w:rsidR="00DD1005" w:rsidRPr="00DD1005" w:rsidRDefault="00DD1005" w:rsidP="00DD1005">
      <w:pPr>
        <w:numPr>
          <w:ilvl w:val="0"/>
          <w:numId w:val="4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Данный раздел справки </w:t>
      </w:r>
      <w:r w:rsidRPr="00DD1005">
        <w:rPr>
          <w:rFonts w:ascii="Arial" w:eastAsia="Times New Roman" w:hAnsi="Arial" w:cs="Arial"/>
          <w:b/>
          <w:bCs/>
          <w:color w:val="333333"/>
          <w:sz w:val="21"/>
          <w:szCs w:val="21"/>
          <w:lang w:eastAsia="ru-RU"/>
        </w:rPr>
        <w:t>заполняется только</w:t>
      </w:r>
      <w:r w:rsidRPr="00DD1005">
        <w:rPr>
          <w:rFonts w:ascii="Arial" w:eastAsia="Times New Roman" w:hAnsi="Arial" w:cs="Arial"/>
          <w:color w:val="333333"/>
          <w:sz w:val="21"/>
          <w:szCs w:val="21"/>
          <w:lang w:eastAsia="ru-RU"/>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2020году сообщаются сведения о расходах по сделкам, совершенным в 2019 году.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DD1005" w:rsidRPr="00DD1005" w:rsidRDefault="00DD1005" w:rsidP="00DD1005">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D1005" w:rsidRPr="00DD1005" w:rsidRDefault="00DD1005" w:rsidP="00DD1005">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Граждане, поступающие на службу (работу), раздел «Сведения о расходах» не заполняют.</w:t>
      </w:r>
    </w:p>
    <w:p w:rsidR="00DD1005" w:rsidRPr="00DD1005" w:rsidRDefault="00DD1005" w:rsidP="00DD1005">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Заполнение данного раздела при отсутствии указанных в пункте 63настоящих Методических рекомендаций оснований не является нарушением.</w:t>
      </w:r>
    </w:p>
    <w:p w:rsidR="00DD1005" w:rsidRPr="00DD1005" w:rsidRDefault="00DD1005" w:rsidP="00DD1005">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2019году, суммируются доходы служащего (работника) и его супруги (супруга), полученные в 2016, 2017и 2018годах. Общий доход служащего (работника) и его супруги (супруга) </w:t>
      </w:r>
      <w:r w:rsidRPr="00DD1005">
        <w:rPr>
          <w:rFonts w:ascii="Arial" w:eastAsia="Times New Roman" w:hAnsi="Arial" w:cs="Arial"/>
          <w:color w:val="333333"/>
          <w:sz w:val="21"/>
          <w:szCs w:val="21"/>
          <w:lang w:eastAsia="ru-RU"/>
        </w:rPr>
        <w:lastRenderedPageBreak/>
        <w:t>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D1005" w:rsidRPr="00DD1005" w:rsidRDefault="00DD1005" w:rsidP="00DD1005">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цели реализации пункта 63настоящих Методических рекомендаций при расчете общего дохода служащего (работника) и его супруги(супруга) за три года, предшествующих отчетному, доходы супруги(супруга)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rsidR="00DD1005" w:rsidRPr="00DD1005" w:rsidRDefault="00DD1005" w:rsidP="00DD1005">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D1005" w:rsidRPr="00DD1005" w:rsidRDefault="00DD1005" w:rsidP="00DD1005">
      <w:pPr>
        <w:numPr>
          <w:ilvl w:val="0"/>
          <w:numId w:val="4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Данный раздел </w:t>
      </w:r>
      <w:r w:rsidRPr="00DD1005">
        <w:rPr>
          <w:rFonts w:ascii="Arial" w:eastAsia="Times New Roman" w:hAnsi="Arial" w:cs="Arial"/>
          <w:b/>
          <w:bCs/>
          <w:color w:val="333333"/>
          <w:sz w:val="21"/>
          <w:szCs w:val="21"/>
          <w:lang w:eastAsia="ru-RU"/>
        </w:rPr>
        <w:t>не заполняется</w:t>
      </w:r>
      <w:r w:rsidRPr="00DD1005">
        <w:rPr>
          <w:rFonts w:ascii="Arial" w:eastAsia="Times New Roman" w:hAnsi="Arial" w:cs="Arial"/>
          <w:color w:val="333333"/>
          <w:sz w:val="21"/>
          <w:szCs w:val="21"/>
          <w:lang w:eastAsia="ru-RU"/>
        </w:rPr>
        <w:t> в следующих случаях: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D1005" w:rsidRPr="00DD1005" w:rsidRDefault="00DD1005" w:rsidP="00DD1005">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графы «</w:t>
      </w:r>
      <w:r w:rsidRPr="00DD1005">
        <w:rPr>
          <w:rFonts w:ascii="Arial" w:eastAsia="Times New Roman" w:hAnsi="Arial" w:cs="Arial"/>
          <w:b/>
          <w:bCs/>
          <w:color w:val="333333"/>
          <w:sz w:val="21"/>
          <w:szCs w:val="21"/>
          <w:lang w:eastAsia="ru-RU"/>
        </w:rPr>
        <w:t>Вид приобретенного имущества</w:t>
      </w:r>
      <w:r w:rsidRPr="00DD1005">
        <w:rPr>
          <w:rFonts w:ascii="Arial" w:eastAsia="Times New Roman" w:hAnsi="Arial" w:cs="Arial"/>
          <w:color w:val="333333"/>
          <w:sz w:val="21"/>
          <w:szCs w:val="21"/>
          <w:lang w:eastAsia="ru-RU"/>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D1005" w:rsidRPr="00DD1005" w:rsidRDefault="00DD1005" w:rsidP="00DD1005">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графы «</w:t>
      </w:r>
      <w:r w:rsidRPr="00DD1005">
        <w:rPr>
          <w:rFonts w:ascii="Arial" w:eastAsia="Times New Roman" w:hAnsi="Arial" w:cs="Arial"/>
          <w:b/>
          <w:bCs/>
          <w:color w:val="333333"/>
          <w:sz w:val="21"/>
          <w:szCs w:val="21"/>
          <w:lang w:eastAsia="ru-RU"/>
        </w:rPr>
        <w:t>Источник получения средств, за счет которых приобретено имущество</w:t>
      </w:r>
      <w:r w:rsidRPr="00DD1005">
        <w:rPr>
          <w:rFonts w:ascii="Arial" w:eastAsia="Times New Roman" w:hAnsi="Arial" w:cs="Arial"/>
          <w:color w:val="333333"/>
          <w:sz w:val="21"/>
          <w:szCs w:val="21"/>
          <w:lang w:eastAsia="ru-RU"/>
        </w:rPr>
        <w:t>»следует указывать наименование источника получения средств и размер полученного дохода по каждому из источников.</w:t>
      </w:r>
    </w:p>
    <w:p w:rsidR="00DD1005" w:rsidRPr="00DD1005" w:rsidRDefault="00DD1005" w:rsidP="00DD1005">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w:t>
      </w:r>
      <w:r w:rsidRPr="00DD1005">
        <w:rPr>
          <w:rFonts w:ascii="Arial" w:eastAsia="Times New Roman" w:hAnsi="Arial" w:cs="Arial"/>
          <w:color w:val="333333"/>
          <w:sz w:val="21"/>
          <w:szCs w:val="21"/>
          <w:lang w:eastAsia="ru-RU"/>
        </w:rPr>
        <w:lastRenderedPageBreak/>
        <w:t>(супругом) и (или) несовершеннолетними детьми для осуществления расходов по сделке (сделкам).</w:t>
      </w:r>
    </w:p>
    <w:p w:rsidR="00DD1005" w:rsidRPr="00DD1005" w:rsidRDefault="00DD1005" w:rsidP="00DD1005">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D1005" w:rsidRPr="00DD1005" w:rsidRDefault="00DD1005" w:rsidP="00DD1005">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«Основания приобретения имущества» </w:t>
      </w:r>
      <w:r w:rsidRPr="00DD1005">
        <w:rPr>
          <w:rFonts w:ascii="Arial" w:eastAsia="Times New Roman" w:hAnsi="Arial" w:cs="Arial"/>
          <w:color w:val="333333"/>
          <w:sz w:val="21"/>
          <w:szCs w:val="21"/>
          <w:lang w:eastAsia="ru-RU"/>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D1005" w:rsidRPr="00DD1005" w:rsidRDefault="00DD1005" w:rsidP="00DD1005">
      <w:pPr>
        <w:numPr>
          <w:ilvl w:val="0"/>
          <w:numId w:val="4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Особенности заполнения раздела «Сведения о расходах»</w:t>
      </w:r>
      <w:r w:rsidRPr="00DD1005">
        <w:rPr>
          <w:rFonts w:ascii="Arial" w:eastAsia="Times New Roman" w:hAnsi="Arial" w:cs="Arial"/>
          <w:color w:val="333333"/>
          <w:sz w:val="21"/>
          <w:szCs w:val="21"/>
          <w:lang w:eastAsia="ru-RU"/>
        </w:rPr>
        <w:t>:</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1) приобретение недвижимого имущества посредством участия в долевом строительстве.</w:t>
      </w:r>
      <w:r w:rsidRPr="00DD1005">
        <w:rPr>
          <w:rFonts w:ascii="Arial" w:eastAsia="Times New Roman" w:hAnsi="Arial" w:cs="Arial"/>
          <w:color w:val="333333"/>
          <w:sz w:val="21"/>
          <w:szCs w:val="21"/>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2) приобретение недвижимого имущества посредством участия в кооперативе.</w:t>
      </w:r>
      <w:r w:rsidRPr="00DD1005">
        <w:rPr>
          <w:rFonts w:ascii="Arial" w:eastAsia="Times New Roman" w:hAnsi="Arial" w:cs="Arial"/>
          <w:color w:val="333333"/>
          <w:sz w:val="21"/>
          <w:szCs w:val="21"/>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3) приобретение ценных бумаг.</w:t>
      </w:r>
      <w:r w:rsidRPr="00DD1005">
        <w:rPr>
          <w:rFonts w:ascii="Arial" w:eastAsia="Times New Roman" w:hAnsi="Arial" w:cs="Arial"/>
          <w:color w:val="333333"/>
          <w:sz w:val="21"/>
          <w:szCs w:val="21"/>
          <w:lang w:eastAsia="ru-RU"/>
        </w:rPr>
        <w:t xml:space="preserve"> Одной (каждой) сделкой купли-продажи ценных бумаг следует считать действие, в результате которого возникает право собственности на </w:t>
      </w:r>
      <w:r w:rsidRPr="00DD1005">
        <w:rPr>
          <w:rFonts w:ascii="Arial" w:eastAsia="Times New Roman" w:hAnsi="Arial" w:cs="Arial"/>
          <w:color w:val="333333"/>
          <w:sz w:val="21"/>
          <w:szCs w:val="21"/>
          <w:lang w:eastAsia="ru-RU"/>
        </w:rPr>
        <w:lastRenderedPageBreak/>
        <w:t>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РАЗДЕЛ 3. СВЕДЕНИЯ ОБ ИМУЩЕСТВЕ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Подраздел 3.1 Недвижимое имущество</w:t>
      </w:r>
    </w:p>
    <w:p w:rsidR="00DD1005" w:rsidRPr="00DD1005" w:rsidRDefault="00DD1005" w:rsidP="00DD1005">
      <w:pPr>
        <w:numPr>
          <w:ilvl w:val="0"/>
          <w:numId w:val="4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D1005" w:rsidRPr="00DD1005" w:rsidRDefault="00DD1005" w:rsidP="00DD1005">
      <w:pPr>
        <w:numPr>
          <w:ilvl w:val="0"/>
          <w:numId w:val="4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Также в данном подразделе подлежат отражению объекты недвижимого имущества, принадлежащие на праве собственностигражданину, зарегистрированному в качестве индивидуального предпринимателя.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D1005" w:rsidRPr="00DD1005" w:rsidRDefault="00DD1005" w:rsidP="00DD1005">
      <w:pPr>
        <w:numPr>
          <w:ilvl w:val="0"/>
          <w:numId w:val="5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 3 статьи 1 Федерального закона от 13 июля 2015 г.</w:t>
      </w:r>
      <w:r w:rsidRPr="00DD1005">
        <w:rPr>
          <w:rFonts w:ascii="Arial" w:eastAsia="Times New Roman" w:hAnsi="Arial" w:cs="Arial"/>
          <w:color w:val="333333"/>
          <w:sz w:val="21"/>
          <w:szCs w:val="21"/>
          <w:lang w:eastAsia="ru-RU"/>
        </w:rPr>
        <w:br/>
        <w:t>№ 218-ФЗ «О государственной регистрации недвижимости»).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DD1005" w:rsidRPr="00DD1005" w:rsidRDefault="00DD1005" w:rsidP="00DD1005">
      <w:pPr>
        <w:numPr>
          <w:ilvl w:val="0"/>
          <w:numId w:val="5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D1005" w:rsidRPr="00DD1005" w:rsidRDefault="00DD1005" w:rsidP="00DD1005">
      <w:pPr>
        <w:numPr>
          <w:ilvl w:val="0"/>
          <w:numId w:val="5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Заполнение графы </w:t>
      </w:r>
      <w:r w:rsidRPr="00DD1005">
        <w:rPr>
          <w:rFonts w:ascii="Arial" w:eastAsia="Times New Roman" w:hAnsi="Arial" w:cs="Arial"/>
          <w:b/>
          <w:bCs/>
          <w:color w:val="333333"/>
          <w:sz w:val="21"/>
          <w:szCs w:val="21"/>
          <w:lang w:eastAsia="ru-RU"/>
        </w:rPr>
        <w:t>«Вид и наименование имущества»</w:t>
      </w:r>
    </w:p>
    <w:p w:rsidR="00DD1005" w:rsidRPr="00DD1005" w:rsidRDefault="00DD1005" w:rsidP="00DD1005">
      <w:pPr>
        <w:numPr>
          <w:ilvl w:val="0"/>
          <w:numId w:val="5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При указании сведений о </w:t>
      </w:r>
      <w:r w:rsidRPr="00DD1005">
        <w:rPr>
          <w:rFonts w:ascii="Arial" w:eastAsia="Times New Roman" w:hAnsi="Arial" w:cs="Arial"/>
          <w:b/>
          <w:bCs/>
          <w:color w:val="333333"/>
          <w:sz w:val="21"/>
          <w:szCs w:val="21"/>
          <w:lang w:eastAsia="ru-RU"/>
        </w:rPr>
        <w:t>земельных участках</w:t>
      </w:r>
      <w:r w:rsidRPr="00DD1005">
        <w:rPr>
          <w:rFonts w:ascii="Arial" w:eastAsia="Times New Roman" w:hAnsi="Arial" w:cs="Arial"/>
          <w:color w:val="333333"/>
          <w:sz w:val="21"/>
          <w:szCs w:val="21"/>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наличии в собственности </w:t>
      </w:r>
      <w:r w:rsidRPr="00DD1005">
        <w:rPr>
          <w:rFonts w:ascii="Arial" w:eastAsia="Times New Roman" w:hAnsi="Arial" w:cs="Arial"/>
          <w:b/>
          <w:bCs/>
          <w:color w:val="333333"/>
          <w:sz w:val="21"/>
          <w:szCs w:val="21"/>
          <w:lang w:eastAsia="ru-RU"/>
        </w:rPr>
        <w:t>жилого или садового дома,</w:t>
      </w:r>
      <w:r w:rsidRPr="00DD1005">
        <w:rPr>
          <w:rFonts w:ascii="Arial" w:eastAsia="Times New Roman" w:hAnsi="Arial" w:cs="Arial"/>
          <w:color w:val="333333"/>
          <w:sz w:val="21"/>
          <w:szCs w:val="21"/>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строке 4 «</w:t>
      </w:r>
      <w:r w:rsidRPr="00DD1005">
        <w:rPr>
          <w:rFonts w:ascii="Arial" w:eastAsia="Times New Roman" w:hAnsi="Arial" w:cs="Arial"/>
          <w:b/>
          <w:bCs/>
          <w:color w:val="333333"/>
          <w:sz w:val="21"/>
          <w:szCs w:val="21"/>
          <w:lang w:eastAsia="ru-RU"/>
        </w:rPr>
        <w:t>Гаражи</w:t>
      </w:r>
      <w:r w:rsidRPr="00DD1005">
        <w:rPr>
          <w:rFonts w:ascii="Arial" w:eastAsia="Times New Roman" w:hAnsi="Arial" w:cs="Arial"/>
          <w:color w:val="333333"/>
          <w:sz w:val="21"/>
          <w:szCs w:val="21"/>
          <w:lang w:eastAsia="ru-RU"/>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«Вид собственности»</w:t>
      </w:r>
      <w:r w:rsidRPr="00DD1005">
        <w:rPr>
          <w:rFonts w:ascii="Arial" w:eastAsia="Times New Roman" w:hAnsi="Arial" w:cs="Arial"/>
          <w:color w:val="333333"/>
          <w:sz w:val="21"/>
          <w:szCs w:val="21"/>
          <w:lang w:eastAsia="ru-RU"/>
        </w:rPr>
        <w:t> указывается вид собственности на имущество (индивидуальная, общая совместная, общая долевая).</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w:t>
      </w:r>
      <w:r w:rsidRPr="00DD1005">
        <w:rPr>
          <w:rFonts w:ascii="Arial" w:eastAsia="Times New Roman" w:hAnsi="Arial" w:cs="Arial"/>
          <w:color w:val="333333"/>
          <w:sz w:val="21"/>
          <w:szCs w:val="21"/>
          <w:lang w:eastAsia="ru-RU"/>
        </w:rPr>
        <w:lastRenderedPageBreak/>
        <w:t>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D1005" w:rsidRPr="00DD1005" w:rsidRDefault="00DD1005" w:rsidP="00DD1005">
      <w:pPr>
        <w:numPr>
          <w:ilvl w:val="0"/>
          <w:numId w:val="5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Местонахождение (адрес)</w:t>
      </w:r>
      <w:r w:rsidRPr="00DD1005">
        <w:rPr>
          <w:rFonts w:ascii="Arial" w:eastAsia="Times New Roman" w:hAnsi="Arial" w:cs="Arial"/>
          <w:color w:val="333333"/>
          <w:sz w:val="21"/>
          <w:szCs w:val="21"/>
          <w:lang w:eastAsia="ru-RU"/>
        </w:rPr>
        <w:t> недвижимого имущества указывается согласно правоустанавливающим документам. При этом указывается: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субъект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район;</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город, иной населенный пункт (село, поселок и т.д.);</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улица (проспект, переулок и т.д.);</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5) номер дома (владения, участка), корпуса (строения), квартиры.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Также рекомендуется указывать индекс.</w:t>
      </w:r>
    </w:p>
    <w:p w:rsidR="00DD1005" w:rsidRPr="00DD1005" w:rsidRDefault="00DD1005" w:rsidP="00DD1005">
      <w:pPr>
        <w:numPr>
          <w:ilvl w:val="0"/>
          <w:numId w:val="5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Если недвижимое имущество находится за рубежом, то указывается: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наименование государства;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населенный пункт (иная единица административно-территориального деления);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почтовый адрес.</w:t>
      </w:r>
    </w:p>
    <w:p w:rsidR="00DD1005" w:rsidRPr="00DD1005" w:rsidRDefault="00DD1005" w:rsidP="00DD1005">
      <w:pPr>
        <w:numPr>
          <w:ilvl w:val="0"/>
          <w:numId w:val="5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Площадь </w:t>
      </w:r>
      <w:r w:rsidRPr="00DD1005">
        <w:rPr>
          <w:rFonts w:ascii="Arial" w:eastAsia="Times New Roman" w:hAnsi="Arial" w:cs="Arial"/>
          <w:color w:val="333333"/>
          <w:sz w:val="21"/>
          <w:szCs w:val="21"/>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D1005" w:rsidRPr="00DD1005" w:rsidRDefault="00DD1005" w:rsidP="00DD1005">
      <w:pPr>
        <w:numPr>
          <w:ilvl w:val="0"/>
          <w:numId w:val="5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Основание приобретения и источники средств</w:t>
      </w:r>
    </w:p>
    <w:p w:rsidR="00DD1005" w:rsidRPr="00DD1005" w:rsidRDefault="00DD1005" w:rsidP="00DD1005">
      <w:pPr>
        <w:numPr>
          <w:ilvl w:val="0"/>
          <w:numId w:val="5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D1005" w:rsidRPr="00DD1005" w:rsidRDefault="00DD1005" w:rsidP="00DD1005">
      <w:pPr>
        <w:numPr>
          <w:ilvl w:val="0"/>
          <w:numId w:val="5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DD1005" w:rsidRPr="00DD1005" w:rsidRDefault="00DD1005" w:rsidP="00DD1005">
      <w:pPr>
        <w:numPr>
          <w:ilvl w:val="0"/>
          <w:numId w:val="5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Необходимоуказывать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77:02:0014017:1994-72/004/2019-2 от 27 марта2019 г., договор купли-продажи от 19 февраля 2019г. и т.д.</w:t>
      </w:r>
    </w:p>
    <w:p w:rsidR="00DD1005" w:rsidRPr="00DD1005" w:rsidRDefault="00DD1005" w:rsidP="00DD1005">
      <w:pPr>
        <w:numPr>
          <w:ilvl w:val="0"/>
          <w:numId w:val="5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Обязанность сообщать сведения об </w:t>
      </w:r>
      <w:r w:rsidRPr="00DD1005">
        <w:rPr>
          <w:rFonts w:ascii="Arial" w:eastAsia="Times New Roman" w:hAnsi="Arial" w:cs="Arial"/>
          <w:b/>
          <w:bCs/>
          <w:color w:val="333333"/>
          <w:sz w:val="21"/>
          <w:szCs w:val="21"/>
          <w:lang w:eastAsia="ru-RU"/>
        </w:rPr>
        <w:t>источнике средств</w:t>
      </w:r>
      <w:r w:rsidRPr="00DD1005">
        <w:rPr>
          <w:rFonts w:ascii="Arial" w:eastAsia="Times New Roman" w:hAnsi="Arial" w:cs="Arial"/>
          <w:color w:val="333333"/>
          <w:sz w:val="21"/>
          <w:szCs w:val="21"/>
          <w:lang w:eastAsia="ru-RU"/>
        </w:rPr>
        <w:t>, за счет которых приобретено имущество, находящееся за пределами территории Российской Федерации, распространяется </w:t>
      </w:r>
      <w:r w:rsidRPr="00DD1005">
        <w:rPr>
          <w:rFonts w:ascii="Arial" w:eastAsia="Times New Roman" w:hAnsi="Arial" w:cs="Arial"/>
          <w:b/>
          <w:bCs/>
          <w:color w:val="333333"/>
          <w:sz w:val="21"/>
          <w:szCs w:val="21"/>
          <w:lang w:eastAsia="ru-RU"/>
        </w:rPr>
        <w:t>только</w:t>
      </w:r>
      <w:r w:rsidRPr="00DD1005">
        <w:rPr>
          <w:rFonts w:ascii="Arial" w:eastAsia="Times New Roman" w:hAnsi="Arial" w:cs="Arial"/>
          <w:color w:val="333333"/>
          <w:sz w:val="21"/>
          <w:szCs w:val="21"/>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на лиц, замещающих (занимающих):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государственные должности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первого заместителя и заместителей Генерального прокурора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членов Совета директоров Центрального банка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государственные должности субъектов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заместителей руководителей федеральных органов исполнительной власти;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нераспространяется);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на супруг (супругов), несовершеннолетних детей лиц, указанных в абзацах втором-десятом подпункта 1 настоящего пункта;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иных лиц в случаях, предусмотренных федеральными законами.</w:t>
      </w:r>
    </w:p>
    <w:p w:rsidR="00DD1005" w:rsidRPr="00DD1005" w:rsidRDefault="00DD1005" w:rsidP="00DD1005">
      <w:pPr>
        <w:numPr>
          <w:ilvl w:val="0"/>
          <w:numId w:val="5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DD1005">
        <w:rPr>
          <w:rFonts w:ascii="Arial" w:eastAsia="Times New Roman" w:hAnsi="Arial" w:cs="Arial"/>
          <w:b/>
          <w:bCs/>
          <w:color w:val="333333"/>
          <w:sz w:val="21"/>
          <w:szCs w:val="21"/>
          <w:lang w:eastAsia="ru-RU"/>
        </w:rPr>
        <w:t>исключительно</w:t>
      </w:r>
      <w:r w:rsidRPr="00DD1005">
        <w:rPr>
          <w:rFonts w:ascii="Arial" w:eastAsia="Times New Roman" w:hAnsi="Arial" w:cs="Arial"/>
          <w:color w:val="333333"/>
          <w:sz w:val="21"/>
          <w:szCs w:val="21"/>
          <w:lang w:eastAsia="ru-RU"/>
        </w:rPr>
        <w:t> за пределами территории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 вышеуказанном источнике отображаются в справке ежегодно, вне зависимости от года приобретения имущества.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Подраздел 3.2. Транспортные средства</w:t>
      </w:r>
    </w:p>
    <w:p w:rsidR="00DD1005" w:rsidRPr="00DD1005" w:rsidRDefault="00DD1005" w:rsidP="00DD1005">
      <w:pPr>
        <w:numPr>
          <w:ilvl w:val="0"/>
          <w:numId w:val="5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D1005" w:rsidRPr="00DD1005" w:rsidRDefault="00DD1005" w:rsidP="00DD1005">
      <w:pPr>
        <w:numPr>
          <w:ilvl w:val="0"/>
          <w:numId w:val="6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DD1005" w:rsidRPr="00DD1005" w:rsidRDefault="00DD1005" w:rsidP="00DD1005">
      <w:pPr>
        <w:numPr>
          <w:ilvl w:val="0"/>
          <w:numId w:val="6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подразделе справки. Если на отчетную дату </w:t>
      </w:r>
      <w:r w:rsidRPr="00DD1005">
        <w:rPr>
          <w:rFonts w:ascii="Arial" w:eastAsia="Times New Roman" w:hAnsi="Arial" w:cs="Arial"/>
          <w:color w:val="333333"/>
          <w:sz w:val="21"/>
          <w:szCs w:val="21"/>
          <w:lang w:eastAsia="ru-RU"/>
        </w:rPr>
        <w:lastRenderedPageBreak/>
        <w:t>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D1005" w:rsidRPr="00DD1005" w:rsidRDefault="00DD1005" w:rsidP="00DD1005">
      <w:pPr>
        <w:numPr>
          <w:ilvl w:val="0"/>
          <w:numId w:val="6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w:t>
      </w:r>
      <w:r w:rsidRPr="00DD1005">
        <w:rPr>
          <w:rFonts w:ascii="Arial" w:eastAsia="Times New Roman" w:hAnsi="Arial" w:cs="Arial"/>
          <w:color w:val="333333"/>
          <w:sz w:val="21"/>
          <w:szCs w:val="21"/>
          <w:lang w:eastAsia="ru-RU"/>
        </w:rPr>
        <w:br/>
        <w:t>№ 18-КГ19-9).Таким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служащего.При заполнении графы</w:t>
      </w:r>
      <w:r w:rsidRPr="00DD1005">
        <w:rPr>
          <w:rFonts w:ascii="Arial" w:eastAsia="Times New Roman" w:hAnsi="Arial" w:cs="Arial"/>
          <w:b/>
          <w:bCs/>
          <w:color w:val="333333"/>
          <w:sz w:val="21"/>
          <w:szCs w:val="21"/>
          <w:lang w:eastAsia="ru-RU"/>
        </w:rPr>
        <w:t>«Место регистрации»</w:t>
      </w:r>
      <w:r w:rsidRPr="00DD1005">
        <w:rPr>
          <w:rFonts w:ascii="Arial" w:eastAsia="Times New Roman" w:hAnsi="Arial" w:cs="Arial"/>
          <w:color w:val="333333"/>
          <w:sz w:val="21"/>
          <w:szCs w:val="21"/>
          <w:lang w:eastAsia="ru-RU"/>
        </w:rPr>
        <w:t>указывается наименование органа внутренних дел, осуществившего регистрационный учет транспортного средства, например </w:t>
      </w:r>
      <w:hyperlink r:id="rId15" w:history="1">
        <w:r w:rsidRPr="00DD1005">
          <w:rPr>
            <w:rFonts w:ascii="Arial" w:eastAsia="Times New Roman" w:hAnsi="Arial" w:cs="Arial"/>
            <w:color w:val="0088CC"/>
            <w:sz w:val="21"/>
            <w:szCs w:val="21"/>
            <w:u w:val="single"/>
            <w:lang w:eastAsia="ru-RU"/>
          </w:rPr>
          <w:t>МО ГИБДД ТНРЭР № 2 ГУ МВД России по г. Москве</w:t>
        </w:r>
      </w:hyperlink>
      <w:r w:rsidRPr="00DD1005">
        <w:rPr>
          <w:rFonts w:ascii="Arial" w:eastAsia="Times New Roman" w:hAnsi="Arial" w:cs="Arial"/>
          <w:color w:val="333333"/>
          <w:sz w:val="21"/>
          <w:szCs w:val="21"/>
          <w:lang w:eastAsia="ru-RU"/>
        </w:rPr>
        <w:t>, </w:t>
      </w:r>
      <w:hyperlink r:id="rId16" w:history="1">
        <w:r w:rsidRPr="00DD1005">
          <w:rPr>
            <w:rFonts w:ascii="Arial" w:eastAsia="Times New Roman" w:hAnsi="Arial" w:cs="Arial"/>
            <w:color w:val="0088CC"/>
            <w:sz w:val="21"/>
            <w:szCs w:val="21"/>
            <w:u w:val="single"/>
            <w:lang w:eastAsia="ru-RU"/>
          </w:rPr>
          <w:t>ОГИБДД ММО МВД России «Шалинский</w:t>
        </w:r>
      </w:hyperlink>
      <w:r w:rsidRPr="00DD1005">
        <w:rPr>
          <w:rFonts w:ascii="Arial" w:eastAsia="Times New Roman" w:hAnsi="Arial" w:cs="Arial"/>
          <w:color w:val="333333"/>
          <w:sz w:val="21"/>
          <w:szCs w:val="21"/>
          <w:lang w:eastAsia="ru-RU"/>
        </w:rPr>
        <w:t>», </w:t>
      </w:r>
      <w:hyperlink r:id="rId17" w:history="1">
        <w:r w:rsidRPr="00DD1005">
          <w:rPr>
            <w:rFonts w:ascii="Arial" w:eastAsia="Times New Roman" w:hAnsi="Arial" w:cs="Arial"/>
            <w:color w:val="0088CC"/>
            <w:sz w:val="21"/>
            <w:szCs w:val="21"/>
            <w:u w:val="single"/>
            <w:lang w:eastAsia="ru-RU"/>
          </w:rPr>
          <w:t>ОГИБДД ММО МВД России по Новолялинскому району</w:t>
        </w:r>
      </w:hyperlink>
      <w:r w:rsidRPr="00DD1005">
        <w:rPr>
          <w:rFonts w:ascii="Arial" w:eastAsia="Times New Roman" w:hAnsi="Arial" w:cs="Arial"/>
          <w:color w:val="333333"/>
          <w:sz w:val="21"/>
          <w:szCs w:val="21"/>
          <w:lang w:eastAsia="ru-RU"/>
        </w:rPr>
        <w:t>, 3 отд. МОТОТРЭР ГИБДД УВД по ЦАО г. Москвы и т.д. Указанные данные заполняются согласно паспорту транспортного средства.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Также допускается указание кода подразделения ГИБДД в соответствии со свидетельством о регистрации транспортного средства.</w:t>
      </w:r>
    </w:p>
    <w:p w:rsidR="00DD1005" w:rsidRPr="00DD1005" w:rsidRDefault="00DD1005" w:rsidP="00DD1005">
      <w:pPr>
        <w:numPr>
          <w:ilvl w:val="0"/>
          <w:numId w:val="6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Аналогичным подходом необходимо руководствоваться при указании в данном подразделе водного, воздушного транспорта.</w:t>
      </w:r>
    </w:p>
    <w:p w:rsidR="00DD1005" w:rsidRPr="00DD1005" w:rsidRDefault="00DD1005" w:rsidP="00DD1005">
      <w:pPr>
        <w:numPr>
          <w:ilvl w:val="0"/>
          <w:numId w:val="6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строке 7 «Иные транспортные средства» подлежат указанию, в частности, прицепы, зарегистрированные в установленном порядке.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РАЗДЕЛ 4. СВЕДЕНИЯ О СЧЕТАХ В БАНКАХ И ИНЫХ КРЕДИТНЫХ ОРГАНИЗАЦИЯХ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 </w:t>
      </w:r>
    </w:p>
    <w:p w:rsidR="00DD1005" w:rsidRPr="00DD1005" w:rsidRDefault="00DD1005" w:rsidP="00DD1005">
      <w:pPr>
        <w:numPr>
          <w:ilvl w:val="0"/>
          <w:numId w:val="6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D1005" w:rsidRPr="00DD1005" w:rsidRDefault="00DD1005" w:rsidP="00DD1005">
      <w:pPr>
        <w:numPr>
          <w:ilvl w:val="0"/>
          <w:numId w:val="6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счета с нулевым остатком по состоянию на отчетную дату;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счета (вклады) в иностранных банках, расположенных за пределами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5) счета, открытые для погашения кредита;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6) вклады (счета) в драгоценных металлах (в том числе указывается вид счета и металл, в котором он открыт);</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8) номинальный счет;</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9) счет эскроу.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DD1005">
          <w:rPr>
            <w:rFonts w:ascii="Arial" w:eastAsia="Times New Roman" w:hAnsi="Arial" w:cs="Arial"/>
            <w:color w:val="0088CC"/>
            <w:sz w:val="21"/>
            <w:szCs w:val="21"/>
            <w:u w:val="single"/>
            <w:lang w:eastAsia="ru-RU"/>
          </w:rPr>
          <w:t>http://www.cbr.ru/hd_base/?PrtId=metall_base_new</w:t>
        </w:r>
      </w:hyperlink>
      <w:r w:rsidRPr="00DD1005">
        <w:rPr>
          <w:rFonts w:ascii="Arial" w:eastAsia="Times New Roman" w:hAnsi="Arial" w:cs="Arial"/>
          <w:color w:val="333333"/>
          <w:sz w:val="21"/>
          <w:szCs w:val="21"/>
          <w:lang w:eastAsia="ru-RU"/>
        </w:rPr>
        <w:t>.</w:t>
      </w:r>
    </w:p>
    <w:p w:rsidR="00DD1005" w:rsidRPr="00DD1005" w:rsidRDefault="00DD1005" w:rsidP="00DD1005">
      <w:pPr>
        <w:numPr>
          <w:ilvl w:val="0"/>
          <w:numId w:val="6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 учетом целей антикоррупционного законодательства Российской Федерации в данном разделе не указываются следующие счета: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счета, закрытые по состоянию на отчетную дату;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депозитные счета нотариуса;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5) счета доверительного управления;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7) синтетические счета.</w:t>
      </w:r>
    </w:p>
    <w:p w:rsidR="00DD1005" w:rsidRPr="00DD1005" w:rsidRDefault="00DD1005" w:rsidP="00DD1005">
      <w:pPr>
        <w:numPr>
          <w:ilvl w:val="0"/>
          <w:numId w:val="6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D1005" w:rsidRPr="00DD1005" w:rsidRDefault="00DD1005" w:rsidP="00DD1005">
      <w:pPr>
        <w:numPr>
          <w:ilvl w:val="0"/>
          <w:numId w:val="6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DD1005" w:rsidRPr="00DD1005" w:rsidRDefault="00DD1005" w:rsidP="00DD1005">
      <w:pPr>
        <w:numPr>
          <w:ilvl w:val="0"/>
          <w:numId w:val="6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соответствии с указанной Инструкцией физическим лицам открываются следующие счета: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текущий счет (для совершения операций, не связанных с предпринимательской деятельностью или частной практикой);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DD1005" w:rsidRPr="00DD1005" w:rsidRDefault="00DD1005" w:rsidP="00DD1005">
      <w:pPr>
        <w:numPr>
          <w:ilvl w:val="0"/>
          <w:numId w:val="6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«Дата открытия счета» не допускается указание даты выпуска (перевыпуска) платежной карты.</w:t>
      </w:r>
    </w:p>
    <w:p w:rsidR="00DD1005" w:rsidRPr="00DD1005" w:rsidRDefault="00DD1005" w:rsidP="00DD1005">
      <w:pPr>
        <w:numPr>
          <w:ilvl w:val="0"/>
          <w:numId w:val="6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Графа «Остаток на счете» заполняется по состоянию на отчетную дату.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DD1005">
          <w:rPr>
            <w:rFonts w:ascii="Arial" w:eastAsia="Times New Roman" w:hAnsi="Arial" w:cs="Arial"/>
            <w:color w:val="0088CC"/>
            <w:sz w:val="21"/>
            <w:szCs w:val="21"/>
            <w:u w:val="single"/>
            <w:lang w:eastAsia="ru-RU"/>
          </w:rPr>
          <w:t>http://www.cbr.ru/currency_base/daily.aspx</w:t>
        </w:r>
      </w:hyperlink>
      <w:r w:rsidRPr="00DD1005">
        <w:rPr>
          <w:rFonts w:ascii="Arial" w:eastAsia="Times New Roman" w:hAnsi="Arial" w:cs="Arial"/>
          <w:color w:val="333333"/>
          <w:sz w:val="21"/>
          <w:szCs w:val="21"/>
          <w:lang w:eastAsia="ru-RU"/>
        </w:rPr>
        <w:t>.</w:t>
      </w:r>
    </w:p>
    <w:p w:rsidR="00DD1005" w:rsidRPr="00DD1005" w:rsidRDefault="00DD1005" w:rsidP="00DD1005">
      <w:pPr>
        <w:numPr>
          <w:ilvl w:val="0"/>
          <w:numId w:val="6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Графа «Сумма поступивших на счет денежных средств» заполняется </w:t>
      </w:r>
      <w:r w:rsidRPr="00DD1005">
        <w:rPr>
          <w:rFonts w:ascii="Arial" w:eastAsia="Times New Roman" w:hAnsi="Arial" w:cs="Arial"/>
          <w:b/>
          <w:bCs/>
          <w:color w:val="333333"/>
          <w:sz w:val="21"/>
          <w:szCs w:val="21"/>
          <w:lang w:eastAsia="ru-RU"/>
        </w:rPr>
        <w:t>только</w:t>
      </w:r>
      <w:r w:rsidRPr="00DD1005">
        <w:rPr>
          <w:rFonts w:ascii="Arial" w:eastAsia="Times New Roman" w:hAnsi="Arial" w:cs="Arial"/>
          <w:color w:val="333333"/>
          <w:sz w:val="21"/>
          <w:szCs w:val="21"/>
          <w:lang w:eastAsia="ru-RU"/>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в данной графе следует сделать специальную пометку «Выписка №           от _______ на    листе (листах)».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счетов в иностранной валюте сумма указывается в рублях по курсу Банка России на отчетную дату.</w:t>
      </w:r>
    </w:p>
    <w:p w:rsidR="00DD1005" w:rsidRPr="00DD1005" w:rsidRDefault="00DD1005" w:rsidP="00DD1005">
      <w:pPr>
        <w:numPr>
          <w:ilvl w:val="0"/>
          <w:numId w:val="6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обращатьсяв банк или соответствующую кредитную организацию.</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Совместный счет</w:t>
      </w:r>
    </w:p>
    <w:p w:rsidR="00DD1005" w:rsidRPr="00DD1005" w:rsidRDefault="00DD1005" w:rsidP="00DD1005">
      <w:pPr>
        <w:numPr>
          <w:ilvl w:val="0"/>
          <w:numId w:val="6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w:t>
      </w:r>
      <w:r w:rsidRPr="00DD1005">
        <w:rPr>
          <w:rFonts w:ascii="Arial" w:eastAsia="Times New Roman" w:hAnsi="Arial" w:cs="Arial"/>
          <w:color w:val="333333"/>
          <w:sz w:val="21"/>
          <w:szCs w:val="21"/>
          <w:lang w:eastAsia="ru-RU"/>
        </w:rPr>
        <w:lastRenderedPageBreak/>
        <w:t>супругов, если иное не предусмотрено брачным договором, о заключении которого клиенты-супруги уведомили банк.</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Кредитные карты, карты с овердрафтом</w:t>
      </w:r>
    </w:p>
    <w:p w:rsidR="00DD1005" w:rsidRPr="00DD1005" w:rsidRDefault="00DD1005" w:rsidP="00DD1005">
      <w:pPr>
        <w:numPr>
          <w:ilvl w:val="0"/>
          <w:numId w:val="6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Банк (иная кредитная организация) выпускает следующие виды карт (таблица №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2"/>
        <w:gridCol w:w="7953"/>
      </w:tblGrid>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Расчетная (дебетовая)</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D1005" w:rsidRPr="00DD1005" w:rsidTr="00DD1005">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Кредитная</w:t>
            </w:r>
          </w:p>
        </w:tc>
        <w:tc>
          <w:tcPr>
            <w:tcW w:w="0" w:type="auto"/>
            <w:shd w:val="clear" w:color="auto" w:fill="FFFFFF"/>
            <w:vAlign w:val="center"/>
            <w:hideMark/>
          </w:tcPr>
          <w:p w:rsidR="00DD1005" w:rsidRPr="00DD1005" w:rsidRDefault="00DD1005" w:rsidP="00DD1005">
            <w:pPr>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Как электронное средство платежа используется для совершения ее держателем операций за счет</w:t>
            </w:r>
            <w:r w:rsidRPr="00DD1005">
              <w:rPr>
                <w:rFonts w:ascii="Arial" w:eastAsia="Times New Roman" w:hAnsi="Arial" w:cs="Arial"/>
                <w:color w:val="333333"/>
                <w:sz w:val="21"/>
                <w:szCs w:val="21"/>
                <w:lang w:eastAsia="ru-RU"/>
              </w:rPr>
              <w:br/>
              <w:t>денежных средств, предоставленных кредитной</w:t>
            </w:r>
            <w:r w:rsidRPr="00DD1005">
              <w:rPr>
                <w:rFonts w:ascii="Arial" w:eastAsia="Times New Roman" w:hAnsi="Arial" w:cs="Arial"/>
                <w:color w:val="333333"/>
                <w:sz w:val="21"/>
                <w:szCs w:val="21"/>
                <w:lang w:eastAsia="ru-RU"/>
              </w:rPr>
              <w:br/>
              <w:t>организацией - эмитентом клиенту в пределах расходного лимита в соответствии с условиями кредитного договора.</w:t>
            </w:r>
          </w:p>
        </w:tc>
      </w:tr>
    </w:tbl>
    <w:p w:rsidR="00DD1005" w:rsidRPr="00DD1005" w:rsidRDefault="00DD1005" w:rsidP="00DD1005">
      <w:pPr>
        <w:numPr>
          <w:ilvl w:val="0"/>
          <w:numId w:val="7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Расчетная (дебетовая) и кредитные карты, как правило, предполагают открытие и ведение банком (иной кредитной организацией) счета.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w:t>
      </w:r>
      <w:hyperlink r:id="rId20" w:history="1">
        <w:r w:rsidRPr="00DD1005">
          <w:rPr>
            <w:rFonts w:ascii="Arial" w:eastAsia="Times New Roman" w:hAnsi="Arial" w:cs="Arial"/>
            <w:color w:val="0088CC"/>
            <w:sz w:val="21"/>
            <w:szCs w:val="21"/>
            <w:u w:val="single"/>
            <w:lang w:eastAsia="ru-RU"/>
          </w:rPr>
          <w:t>https://www.nalog.ru/rn77/fl/interest/inf_baccount/</w:t>
        </w:r>
      </w:hyperlink>
      <w:r w:rsidRPr="00DD1005">
        <w:rPr>
          <w:rFonts w:ascii="Arial" w:eastAsia="Times New Roman" w:hAnsi="Arial" w:cs="Arial"/>
          <w:color w:val="333333"/>
          <w:sz w:val="21"/>
          <w:szCs w:val="21"/>
          <w:lang w:eastAsia="ru-RU"/>
        </w:rPr>
        <w:t>.</w:t>
      </w:r>
    </w:p>
    <w:p w:rsidR="00DD1005" w:rsidRPr="00DD1005" w:rsidRDefault="00DD1005" w:rsidP="00DD1005">
      <w:pPr>
        <w:numPr>
          <w:ilvl w:val="0"/>
          <w:numId w:val="7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если предоставленный кредит (израсходованный овердрафт) по расчетной (дебетовой) картеравен или превышает 500  000 руб., то возникшее в этой связи обязательство финансового характера необходимо указать в подразделе 6.2 справки.</w:t>
      </w:r>
    </w:p>
    <w:p w:rsidR="00DD1005" w:rsidRPr="00DD1005" w:rsidRDefault="00DD1005" w:rsidP="00DD1005">
      <w:pPr>
        <w:numPr>
          <w:ilvl w:val="0"/>
          <w:numId w:val="7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DD1005" w:rsidRPr="00DD1005" w:rsidRDefault="00DD1005" w:rsidP="00DD1005">
      <w:pPr>
        <w:numPr>
          <w:ilvl w:val="0"/>
          <w:numId w:val="7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D1005" w:rsidRPr="00DD1005" w:rsidRDefault="00DD1005" w:rsidP="00DD1005">
      <w:pPr>
        <w:numPr>
          <w:ilvl w:val="0"/>
          <w:numId w:val="7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отсутствии на отчетную дату денежных средств на счете, к которому эмитирована (выпущена) расчетная или кредитная карта, и наличиятолько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D1005" w:rsidRPr="00DD1005" w:rsidRDefault="00DD1005" w:rsidP="00DD1005">
      <w:pPr>
        <w:numPr>
          <w:ilvl w:val="0"/>
          <w:numId w:val="7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разделе </w:t>
      </w:r>
      <w:r w:rsidRPr="00DD1005">
        <w:rPr>
          <w:rFonts w:ascii="Arial" w:eastAsia="Times New Roman" w:hAnsi="Arial" w:cs="Arial"/>
          <w:b/>
          <w:bCs/>
          <w:color w:val="333333"/>
          <w:sz w:val="21"/>
          <w:szCs w:val="21"/>
          <w:lang w:eastAsia="ru-RU"/>
        </w:rPr>
        <w:t>не указываются счета</w:t>
      </w:r>
      <w:r w:rsidRPr="00DD1005">
        <w:rPr>
          <w:rFonts w:ascii="Arial" w:eastAsia="Times New Roman" w:hAnsi="Arial" w:cs="Arial"/>
          <w:color w:val="333333"/>
          <w:sz w:val="21"/>
          <w:szCs w:val="21"/>
          <w:lang w:eastAsia="ru-RU"/>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w:t>
      </w:r>
      <w:r w:rsidRPr="00DD1005">
        <w:rPr>
          <w:rFonts w:ascii="Arial" w:eastAsia="Times New Roman" w:hAnsi="Arial" w:cs="Arial"/>
          <w:color w:val="333333"/>
          <w:sz w:val="21"/>
          <w:szCs w:val="21"/>
          <w:lang w:eastAsia="ru-RU"/>
        </w:rPr>
        <w:lastRenderedPageBreak/>
        <w:t>платежа, в том числе с использованием «электронных кошельков» (например «Яндекс.Деньги», «Qiwi кошелек» и др.).</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Отзыв лицензии у кредитной организации</w:t>
      </w:r>
    </w:p>
    <w:p w:rsidR="00DD1005" w:rsidRPr="00DD1005" w:rsidRDefault="00DD1005" w:rsidP="00DD1005">
      <w:pPr>
        <w:numPr>
          <w:ilvl w:val="0"/>
          <w:numId w:val="7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DD1005" w:rsidRPr="00DD1005" w:rsidRDefault="00DD1005" w:rsidP="00DD1005">
      <w:pPr>
        <w:numPr>
          <w:ilvl w:val="0"/>
          <w:numId w:val="7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D1005" w:rsidRPr="00DD1005" w:rsidRDefault="00DD1005" w:rsidP="00DD1005">
      <w:pPr>
        <w:numPr>
          <w:ilvl w:val="0"/>
          <w:numId w:val="7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 момента закрытия соответствующего счета, счет считается открытым и подлежит отражению в разделе 4 справки.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Ликвидация кредитной организации</w:t>
      </w:r>
    </w:p>
    <w:p w:rsidR="00DD1005" w:rsidRPr="00DD1005" w:rsidRDefault="00DD1005" w:rsidP="00DD1005">
      <w:pPr>
        <w:numPr>
          <w:ilvl w:val="0"/>
          <w:numId w:val="7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D1005" w:rsidRPr="00DD1005" w:rsidRDefault="00DD1005" w:rsidP="00DD1005">
      <w:pPr>
        <w:numPr>
          <w:ilvl w:val="0"/>
          <w:numId w:val="7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DD1005">
          <w:rPr>
            <w:rFonts w:ascii="Arial" w:eastAsia="Times New Roman" w:hAnsi="Arial" w:cs="Arial"/>
            <w:color w:val="0088CC"/>
            <w:sz w:val="21"/>
            <w:szCs w:val="21"/>
            <w:u w:val="single"/>
            <w:lang w:eastAsia="ru-RU"/>
          </w:rPr>
          <w:t>http://cbr.ru/credit/likvidbase/</w:t>
        </w:r>
      </w:hyperlink>
      <w:r w:rsidRPr="00DD1005">
        <w:rPr>
          <w:rFonts w:ascii="Arial" w:eastAsia="Times New Roman" w:hAnsi="Arial" w:cs="Arial"/>
          <w:color w:val="333333"/>
          <w:sz w:val="21"/>
          <w:szCs w:val="21"/>
          <w:lang w:eastAsia="ru-RU"/>
        </w:rPr>
        <w:t>.</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РАЗДЕЛ 5. СВЕДЕНИЯ О ЦЕННЫХ БУМАГАХ</w:t>
      </w:r>
    </w:p>
    <w:p w:rsidR="00DD1005" w:rsidRPr="00DD1005" w:rsidRDefault="00DD1005" w:rsidP="00DD1005">
      <w:pPr>
        <w:numPr>
          <w:ilvl w:val="0"/>
          <w:numId w:val="7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Подраздел 5.1. Акции и иное участие в коммерческих организациях и фондах</w:t>
      </w:r>
    </w:p>
    <w:p w:rsidR="00DD1005" w:rsidRPr="00DD1005" w:rsidRDefault="00DD1005" w:rsidP="00DD1005">
      <w:pPr>
        <w:numPr>
          <w:ilvl w:val="0"/>
          <w:numId w:val="7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соответствии с Федеральным законом от 22 апреля 1996 г.</w:t>
      </w:r>
      <w:r w:rsidRPr="00DD1005">
        <w:rPr>
          <w:rFonts w:ascii="Arial" w:eastAsia="Times New Roman" w:hAnsi="Arial" w:cs="Arial"/>
          <w:color w:val="333333"/>
          <w:sz w:val="21"/>
          <w:szCs w:val="21"/>
          <w:lang w:eastAsia="ru-RU"/>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w:t>
      </w:r>
      <w:r w:rsidRPr="00DD1005">
        <w:rPr>
          <w:rFonts w:ascii="Arial" w:eastAsia="Times New Roman" w:hAnsi="Arial" w:cs="Arial"/>
          <w:color w:val="333333"/>
          <w:sz w:val="21"/>
          <w:szCs w:val="21"/>
          <w:lang w:eastAsia="ru-RU"/>
        </w:rPr>
        <w:lastRenderedPageBreak/>
        <w:t>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D1005" w:rsidRPr="00DD1005" w:rsidRDefault="00DD1005" w:rsidP="00DD1005">
      <w:pPr>
        <w:numPr>
          <w:ilvl w:val="0"/>
          <w:numId w:val="7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«Наименование и организационно-правовая форма организации</w:t>
      </w:r>
      <w:r w:rsidRPr="00DD1005">
        <w:rPr>
          <w:rFonts w:ascii="Arial" w:eastAsia="Times New Roman" w:hAnsi="Arial" w:cs="Arial"/>
          <w:color w:val="333333"/>
          <w:sz w:val="21"/>
          <w:szCs w:val="21"/>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если служащий (работник) является учредителем организации, то данную информацию также необходимо отразить.</w:t>
      </w:r>
    </w:p>
    <w:p w:rsidR="00DD1005" w:rsidRPr="00DD1005" w:rsidRDefault="00DD1005" w:rsidP="00DD1005">
      <w:pPr>
        <w:numPr>
          <w:ilvl w:val="0"/>
          <w:numId w:val="7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Уставный капитал</w:t>
      </w:r>
      <w:r w:rsidRPr="00DD1005">
        <w:rPr>
          <w:rFonts w:ascii="Arial" w:eastAsia="Times New Roman" w:hAnsi="Arial" w:cs="Arial"/>
          <w:color w:val="333333"/>
          <w:sz w:val="21"/>
          <w:szCs w:val="21"/>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DD1005">
          <w:rPr>
            <w:rFonts w:ascii="Arial" w:eastAsia="Times New Roman" w:hAnsi="Arial" w:cs="Arial"/>
            <w:color w:val="0088CC"/>
            <w:sz w:val="21"/>
            <w:szCs w:val="21"/>
            <w:u w:val="single"/>
            <w:lang w:eastAsia="ru-RU"/>
          </w:rPr>
          <w:t>http://www.cbr.ru/currency_base/daily.aspx</w:t>
        </w:r>
      </w:hyperlink>
      <w:r w:rsidRPr="00DD1005">
        <w:rPr>
          <w:rFonts w:ascii="Arial" w:eastAsia="Times New Roman" w:hAnsi="Arial" w:cs="Arial"/>
          <w:color w:val="333333"/>
          <w:sz w:val="21"/>
          <w:szCs w:val="21"/>
          <w:lang w:eastAsia="ru-RU"/>
        </w:rPr>
        <w:t>.</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Если законодательством не предусмотрено формирование уставного капитала, то указывается «0 руб.».</w:t>
      </w:r>
    </w:p>
    <w:p w:rsidR="00DD1005" w:rsidRPr="00DD1005" w:rsidRDefault="00DD1005" w:rsidP="00DD1005">
      <w:pPr>
        <w:numPr>
          <w:ilvl w:val="0"/>
          <w:numId w:val="7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Доля участия </w:t>
      </w:r>
      <w:r w:rsidRPr="00DD1005">
        <w:rPr>
          <w:rFonts w:ascii="Arial" w:eastAsia="Times New Roman" w:hAnsi="Arial" w:cs="Arial"/>
          <w:color w:val="333333"/>
          <w:sz w:val="21"/>
          <w:szCs w:val="21"/>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DD1005" w:rsidRPr="00DD1005" w:rsidRDefault="00DD1005" w:rsidP="00DD1005">
      <w:pPr>
        <w:numPr>
          <w:ilvl w:val="0"/>
          <w:numId w:val="7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Основание участия</w:t>
      </w:r>
      <w:r w:rsidRPr="00DD1005">
        <w:rPr>
          <w:rFonts w:ascii="Arial" w:eastAsia="Times New Roman" w:hAnsi="Arial" w:cs="Arial"/>
          <w:color w:val="333333"/>
          <w:sz w:val="21"/>
          <w:szCs w:val="21"/>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Подраздел 5.2. Иные ценные бумаги</w:t>
      </w:r>
    </w:p>
    <w:p w:rsidR="00DD1005" w:rsidRPr="00DD1005" w:rsidRDefault="00DD1005" w:rsidP="00DD1005">
      <w:pPr>
        <w:numPr>
          <w:ilvl w:val="0"/>
          <w:numId w:val="7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DD1005" w:rsidRPr="00DD1005" w:rsidRDefault="00DD1005" w:rsidP="00DD1005">
      <w:pPr>
        <w:numPr>
          <w:ilvl w:val="0"/>
          <w:numId w:val="7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подразделе 5.2 указываются все ценные бумаги по видам (облигации, векселя и другие), за исключением акций, указанных в подразделе 5.1.</w:t>
      </w:r>
    </w:p>
    <w:p w:rsidR="00DD1005" w:rsidRPr="00DD1005" w:rsidRDefault="00DD1005" w:rsidP="00DD1005">
      <w:pPr>
        <w:numPr>
          <w:ilvl w:val="0"/>
          <w:numId w:val="7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Номинальная величина обязательства</w:t>
      </w:r>
      <w:r w:rsidRPr="00DD1005">
        <w:rPr>
          <w:rFonts w:ascii="Arial" w:eastAsia="Times New Roman" w:hAnsi="Arial" w:cs="Arial"/>
          <w:color w:val="333333"/>
          <w:sz w:val="21"/>
          <w:szCs w:val="21"/>
          <w:lang w:eastAsia="ru-RU"/>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w:t>
      </w:r>
    </w:p>
    <w:p w:rsidR="00DD1005" w:rsidRPr="00DD1005" w:rsidRDefault="00DD1005" w:rsidP="00DD1005">
      <w:pPr>
        <w:numPr>
          <w:ilvl w:val="0"/>
          <w:numId w:val="7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w:t>
      </w:r>
      <w:r w:rsidRPr="00DD1005">
        <w:rPr>
          <w:rFonts w:ascii="Arial" w:eastAsia="Times New Roman" w:hAnsi="Arial" w:cs="Arial"/>
          <w:color w:val="333333"/>
          <w:sz w:val="21"/>
          <w:szCs w:val="21"/>
          <w:lang w:eastAsia="ru-RU"/>
        </w:rPr>
        <w:lastRenderedPageBreak/>
        <w:t>графа не заполняется. В графе «</w:t>
      </w:r>
      <w:r w:rsidRPr="00DD1005">
        <w:rPr>
          <w:rFonts w:ascii="Arial" w:eastAsia="Times New Roman" w:hAnsi="Arial" w:cs="Arial"/>
          <w:b/>
          <w:bCs/>
          <w:color w:val="333333"/>
          <w:sz w:val="21"/>
          <w:szCs w:val="21"/>
          <w:lang w:eastAsia="ru-RU"/>
        </w:rPr>
        <w:t>Общая стоимость</w:t>
      </w:r>
      <w:r w:rsidRPr="00DD1005">
        <w:rPr>
          <w:rFonts w:ascii="Arial" w:eastAsia="Times New Roman" w:hAnsi="Arial" w:cs="Arial"/>
          <w:color w:val="333333"/>
          <w:sz w:val="21"/>
          <w:szCs w:val="21"/>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DD1005">
          <w:rPr>
            <w:rFonts w:ascii="Arial" w:eastAsia="Times New Roman" w:hAnsi="Arial" w:cs="Arial"/>
            <w:color w:val="0088CC"/>
            <w:sz w:val="21"/>
            <w:szCs w:val="21"/>
            <w:u w:val="single"/>
            <w:lang w:eastAsia="ru-RU"/>
          </w:rPr>
          <w:t>http://www.cbr.ru/currency_base/daily.aspx</w:t>
        </w:r>
      </w:hyperlink>
      <w:r w:rsidRPr="00DD1005">
        <w:rPr>
          <w:rFonts w:ascii="Arial" w:eastAsia="Times New Roman" w:hAnsi="Arial" w:cs="Arial"/>
          <w:color w:val="333333"/>
          <w:sz w:val="21"/>
          <w:szCs w:val="21"/>
          <w:lang w:eastAsia="ru-RU"/>
        </w:rPr>
        <w:t>.</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РАЗДЕЛ 6. СВЕДЕНИЯ ОБ ОБЯЗАТЕЛЬСТВАХ ИМУЩЕСТВЕННОГО ХАРАКТЕРА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Подраздел 6.1. Объекты недвижимого имущества, находящиеся в пользовании</w:t>
      </w:r>
    </w:p>
    <w:p w:rsidR="00DD1005" w:rsidRPr="00DD1005" w:rsidRDefault="00DD1005" w:rsidP="00DD1005">
      <w:pPr>
        <w:numPr>
          <w:ilvl w:val="0"/>
          <w:numId w:val="8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D1005" w:rsidRPr="00DD1005" w:rsidRDefault="00DD1005" w:rsidP="00DD1005">
      <w:pPr>
        <w:numPr>
          <w:ilvl w:val="0"/>
          <w:numId w:val="8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DD1005" w:rsidRPr="00DD1005" w:rsidRDefault="00DD1005" w:rsidP="00DD1005">
      <w:pPr>
        <w:numPr>
          <w:ilvl w:val="0"/>
          <w:numId w:val="8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отсутствует фактическое пользование этим объектом супругом;</w:t>
      </w:r>
    </w:p>
    <w:p w:rsidR="00DD1005" w:rsidRPr="00DD1005" w:rsidRDefault="00DD1005" w:rsidP="00DD1005">
      <w:pPr>
        <w:numPr>
          <w:ilvl w:val="0"/>
          <w:numId w:val="8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эти объекты указаны в подразделе 3.1 соответствующей справки (аналогично в отношении несовершеннолетних детей).</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D1005" w:rsidRPr="00DD1005" w:rsidRDefault="00DD1005" w:rsidP="00DD1005">
      <w:pPr>
        <w:numPr>
          <w:ilvl w:val="0"/>
          <w:numId w:val="8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Данный подраздел заполняется в обязательном порядке в отношении техслужащих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D1005" w:rsidRPr="00DD1005" w:rsidRDefault="00DD1005" w:rsidP="00DD1005">
      <w:pPr>
        <w:numPr>
          <w:ilvl w:val="0"/>
          <w:numId w:val="8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том числе указанию подлежат сведения о жилом помещении (дом, квартира, комната), нежилом помещении, земельном участке, гараже и т.д.:</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не принадлежащихслужащему (работнику) или членам его семьи на праве собственности или на праве нанимателя, но в которыху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3) занимаемых по договору аренды (найма, поднайма);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занимаемых по договорам социального найма;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6) принадлежащихна праве пожизненного наследуемого владения земельным участком;</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D1005" w:rsidRPr="00DD1005" w:rsidRDefault="00DD1005" w:rsidP="00DD1005">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указывается общая площадь объекта недвижимого имущества, находящегося в пользовании.</w:t>
      </w:r>
    </w:p>
    <w:p w:rsidR="00DD1005" w:rsidRPr="00DD1005" w:rsidRDefault="00DD1005" w:rsidP="00DD1005">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об объектах недвижимого имущества, находящихся в пользовании, указываются по состоянию на отчетную дату.</w:t>
      </w:r>
    </w:p>
    <w:p w:rsidR="00DD1005" w:rsidRPr="00DD1005" w:rsidRDefault="00DD1005" w:rsidP="00DD1005">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«Вид имущества</w:t>
      </w:r>
      <w:r w:rsidRPr="00DD1005">
        <w:rPr>
          <w:rFonts w:ascii="Arial" w:eastAsia="Times New Roman" w:hAnsi="Arial" w:cs="Arial"/>
          <w:color w:val="333333"/>
          <w:sz w:val="21"/>
          <w:szCs w:val="21"/>
          <w:lang w:eastAsia="ru-RU"/>
        </w:rPr>
        <w:t>» указывается вид недвижимого имущества (земельный участок, жилой дом, дача, квартира, комната и др.).</w:t>
      </w:r>
    </w:p>
    <w:p w:rsidR="00DD1005" w:rsidRPr="00DD1005" w:rsidRDefault="00DD1005" w:rsidP="00DD1005">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Вид и сроки пользования</w:t>
      </w:r>
      <w:r w:rsidRPr="00DD1005">
        <w:rPr>
          <w:rFonts w:ascii="Arial" w:eastAsia="Times New Roman" w:hAnsi="Arial" w:cs="Arial"/>
          <w:color w:val="333333"/>
          <w:sz w:val="21"/>
          <w:szCs w:val="21"/>
          <w:lang w:eastAsia="ru-RU"/>
        </w:rPr>
        <w:t>» указываются вид пользования (аренда, безвозмездное пользование и др.) и сроки пользования.</w:t>
      </w:r>
    </w:p>
    <w:p w:rsidR="00DD1005" w:rsidRPr="00DD1005" w:rsidRDefault="00DD1005" w:rsidP="00DD1005">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Основание пользования</w:t>
      </w:r>
      <w:r w:rsidRPr="00DD1005">
        <w:rPr>
          <w:rFonts w:ascii="Arial" w:eastAsia="Times New Roman" w:hAnsi="Arial" w:cs="Arial"/>
          <w:color w:val="333333"/>
          <w:sz w:val="21"/>
          <w:szCs w:val="21"/>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D1005" w:rsidRPr="00DD1005" w:rsidRDefault="00DD1005" w:rsidP="00DD1005">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подразделе </w:t>
      </w:r>
      <w:r w:rsidRPr="00DD1005">
        <w:rPr>
          <w:rFonts w:ascii="Arial" w:eastAsia="Times New Roman" w:hAnsi="Arial" w:cs="Arial"/>
          <w:b/>
          <w:bCs/>
          <w:color w:val="333333"/>
          <w:sz w:val="21"/>
          <w:szCs w:val="21"/>
          <w:lang w:eastAsia="ru-RU"/>
        </w:rPr>
        <w:t>не указывается</w:t>
      </w:r>
      <w:r w:rsidRPr="00DD1005">
        <w:rPr>
          <w:rFonts w:ascii="Arial" w:eastAsia="Times New Roman" w:hAnsi="Arial" w:cs="Arial"/>
          <w:color w:val="333333"/>
          <w:sz w:val="21"/>
          <w:szCs w:val="21"/>
          <w:lang w:eastAsia="ru-RU"/>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D1005" w:rsidRPr="00DD1005" w:rsidRDefault="00DD1005" w:rsidP="00DD1005">
      <w:pPr>
        <w:numPr>
          <w:ilvl w:val="0"/>
          <w:numId w:val="8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данные доли собственности должны быть отражены в подразделе 3.1. справок служащего (работника) и его супруги (супруга).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Подраздел 6.2. Срочные обязательства финансового характера</w:t>
      </w:r>
    </w:p>
    <w:p w:rsidR="00DD1005" w:rsidRPr="00DD1005" w:rsidRDefault="00DD1005" w:rsidP="00DD1005">
      <w:pPr>
        <w:numPr>
          <w:ilvl w:val="0"/>
          <w:numId w:val="8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подразделе указывается </w:t>
      </w:r>
      <w:r w:rsidRPr="00DD1005">
        <w:rPr>
          <w:rFonts w:ascii="Arial" w:eastAsia="Times New Roman" w:hAnsi="Arial" w:cs="Arial"/>
          <w:b/>
          <w:bCs/>
          <w:color w:val="333333"/>
          <w:sz w:val="21"/>
          <w:szCs w:val="21"/>
          <w:lang w:eastAsia="ru-RU"/>
        </w:rPr>
        <w:t>каждое</w:t>
      </w:r>
      <w:r w:rsidRPr="00DD1005">
        <w:rPr>
          <w:rFonts w:ascii="Arial" w:eastAsia="Times New Roman" w:hAnsi="Arial" w:cs="Arial"/>
          <w:color w:val="333333"/>
          <w:sz w:val="21"/>
          <w:szCs w:val="21"/>
          <w:lang w:eastAsia="ru-RU"/>
        </w:rPr>
        <w:t>имеющееся на отчетную дату срочное обязательство финансового характера на сумму, </w:t>
      </w:r>
      <w:r w:rsidRPr="00DD1005">
        <w:rPr>
          <w:rFonts w:ascii="Arial" w:eastAsia="Times New Roman" w:hAnsi="Arial" w:cs="Arial"/>
          <w:b/>
          <w:bCs/>
          <w:color w:val="333333"/>
          <w:sz w:val="21"/>
          <w:szCs w:val="21"/>
          <w:lang w:eastAsia="ru-RU"/>
        </w:rPr>
        <w:t>равную или превышающую</w:t>
      </w:r>
      <w:r w:rsidRPr="00DD1005">
        <w:rPr>
          <w:rFonts w:ascii="Arial" w:eastAsia="Times New Roman" w:hAnsi="Arial" w:cs="Arial"/>
          <w:color w:val="333333"/>
          <w:sz w:val="21"/>
          <w:szCs w:val="21"/>
          <w:lang w:eastAsia="ru-RU"/>
        </w:rPr>
        <w:t> 500 000 руб., кредитором или должником по которомуявляется служащий (работник), его супруга (супруг), несовершеннолетний ребенок.</w:t>
      </w:r>
    </w:p>
    <w:p w:rsidR="00DD1005" w:rsidRPr="00DD1005" w:rsidRDefault="00DD1005" w:rsidP="00DD1005">
      <w:pPr>
        <w:numPr>
          <w:ilvl w:val="0"/>
          <w:numId w:val="8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Содержание обязательства</w:t>
      </w:r>
      <w:r w:rsidRPr="00DD1005">
        <w:rPr>
          <w:rFonts w:ascii="Arial" w:eastAsia="Times New Roman" w:hAnsi="Arial" w:cs="Arial"/>
          <w:color w:val="333333"/>
          <w:sz w:val="21"/>
          <w:szCs w:val="21"/>
          <w:lang w:eastAsia="ru-RU"/>
        </w:rPr>
        <w:t>» указывается существо обязательства (заем, кредит и другие).</w:t>
      </w:r>
    </w:p>
    <w:p w:rsidR="00DD1005" w:rsidRPr="00DD1005" w:rsidRDefault="00DD1005" w:rsidP="00DD1005">
      <w:pPr>
        <w:numPr>
          <w:ilvl w:val="0"/>
          <w:numId w:val="8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Кредитор (должник)</w:t>
      </w:r>
      <w:r w:rsidRPr="00DD1005">
        <w:rPr>
          <w:rFonts w:ascii="Arial" w:eastAsia="Times New Roman" w:hAnsi="Arial" w:cs="Arial"/>
          <w:color w:val="333333"/>
          <w:sz w:val="21"/>
          <w:szCs w:val="21"/>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Например,</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DD1005" w:rsidRPr="00DD1005" w:rsidRDefault="00DD1005" w:rsidP="00DD1005">
      <w:pPr>
        <w:numPr>
          <w:ilvl w:val="0"/>
          <w:numId w:val="8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Основание возникновения</w:t>
      </w:r>
      <w:r w:rsidRPr="00DD1005">
        <w:rPr>
          <w:rFonts w:ascii="Arial" w:eastAsia="Times New Roman" w:hAnsi="Arial" w:cs="Arial"/>
          <w:color w:val="333333"/>
          <w:sz w:val="21"/>
          <w:szCs w:val="21"/>
          <w:lang w:eastAsia="ru-RU"/>
        </w:rPr>
        <w:t>» указываются основание возникновения обязательства, а также реквизиты (дата, номер) соответствующего договора или акта.</w:t>
      </w:r>
    </w:p>
    <w:p w:rsidR="00DD1005" w:rsidRPr="00DD1005" w:rsidRDefault="00DD1005" w:rsidP="00DD1005">
      <w:pPr>
        <w:numPr>
          <w:ilvl w:val="0"/>
          <w:numId w:val="8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Сумма обязательства / размер обязательства по состоянию на отчетную дату</w:t>
      </w:r>
      <w:r w:rsidRPr="00DD1005">
        <w:rPr>
          <w:rFonts w:ascii="Arial" w:eastAsia="Times New Roman" w:hAnsi="Arial" w:cs="Arial"/>
          <w:color w:val="333333"/>
          <w:sz w:val="21"/>
          <w:szCs w:val="21"/>
          <w:lang w:eastAsia="ru-RU"/>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DD1005">
          <w:rPr>
            <w:rFonts w:ascii="Arial" w:eastAsia="Times New Roman" w:hAnsi="Arial" w:cs="Arial"/>
            <w:color w:val="0088CC"/>
            <w:sz w:val="21"/>
            <w:szCs w:val="21"/>
            <w:u w:val="single"/>
            <w:lang w:eastAsia="ru-RU"/>
          </w:rPr>
          <w:t>http://www.cbr.ru/currency_base/daily.aspx</w:t>
        </w:r>
      </w:hyperlink>
      <w:r w:rsidRPr="00DD1005">
        <w:rPr>
          <w:rFonts w:ascii="Arial" w:eastAsia="Times New Roman" w:hAnsi="Arial" w:cs="Arial"/>
          <w:color w:val="333333"/>
          <w:sz w:val="21"/>
          <w:szCs w:val="21"/>
          <w:lang w:eastAsia="ru-RU"/>
        </w:rPr>
        <w:t>.</w:t>
      </w:r>
    </w:p>
    <w:p w:rsidR="00DD1005" w:rsidRPr="00DD1005" w:rsidRDefault="00DD1005" w:rsidP="00DD1005">
      <w:pPr>
        <w:numPr>
          <w:ilvl w:val="0"/>
          <w:numId w:val="8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D1005" w:rsidRPr="00DD1005" w:rsidRDefault="00DD1005" w:rsidP="00DD1005">
      <w:pPr>
        <w:numPr>
          <w:ilvl w:val="0"/>
          <w:numId w:val="8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w:t>
      </w:r>
      <w:r w:rsidRPr="00DD1005">
        <w:rPr>
          <w:rFonts w:ascii="Arial" w:eastAsia="Times New Roman" w:hAnsi="Arial" w:cs="Arial"/>
          <w:b/>
          <w:bCs/>
          <w:color w:val="333333"/>
          <w:sz w:val="21"/>
          <w:szCs w:val="21"/>
          <w:lang w:eastAsia="ru-RU"/>
        </w:rPr>
        <w:t>Условия обязательства</w:t>
      </w:r>
      <w:r w:rsidRPr="00DD1005">
        <w:rPr>
          <w:rFonts w:ascii="Arial" w:eastAsia="Times New Roman" w:hAnsi="Arial" w:cs="Arial"/>
          <w:color w:val="333333"/>
          <w:sz w:val="21"/>
          <w:szCs w:val="21"/>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DD1005" w:rsidRPr="00DD1005" w:rsidRDefault="00DD1005" w:rsidP="00DD1005">
      <w:pPr>
        <w:numPr>
          <w:ilvl w:val="0"/>
          <w:numId w:val="8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Помимо прочего подлежат указанию:</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2) договор финансовой аренды (лизинг);</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3) договор займа;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4) договор финансирования под уступку денежного требования;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5) обязательства, связанные с заключением договора об уступке права требования;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6) обязательства вследствие причинения вреда (финансовые);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10) выкупленная дебиторская задолженность;</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11)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12) иные обязательства, в том числе установленные решением суда.</w:t>
      </w:r>
    </w:p>
    <w:p w:rsidR="00DD1005" w:rsidRPr="00DD1005" w:rsidRDefault="00DD1005" w:rsidP="00DD1005">
      <w:pPr>
        <w:numPr>
          <w:ilvl w:val="0"/>
          <w:numId w:val="8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в данном подразделе не указываются, например,договор срочного банковского вклада.</w:t>
      </w:r>
    </w:p>
    <w:p w:rsidR="00DD1005" w:rsidRPr="00DD1005" w:rsidRDefault="00DD1005" w:rsidP="00DD1005">
      <w:pPr>
        <w:numPr>
          <w:ilvl w:val="0"/>
          <w:numId w:val="8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Отдельные виды срочных обязательств финансового характера</w:t>
      </w:r>
      <w:r w:rsidRPr="00DD1005">
        <w:rPr>
          <w:rFonts w:ascii="Arial" w:eastAsia="Times New Roman" w:hAnsi="Arial" w:cs="Arial"/>
          <w:color w:val="333333"/>
          <w:sz w:val="21"/>
          <w:szCs w:val="21"/>
          <w:lang w:eastAsia="ru-RU"/>
        </w:rPr>
        <w:t>:</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1) участие в долевом строительстве объекта недвижимости.</w:t>
      </w:r>
      <w:r w:rsidRPr="00DD1005">
        <w:rPr>
          <w:rFonts w:ascii="Arial" w:eastAsia="Times New Roman" w:hAnsi="Arial" w:cs="Arial"/>
          <w:color w:val="333333"/>
          <w:sz w:val="21"/>
          <w:szCs w:val="21"/>
          <w:lang w:eastAsia="ru-RU"/>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2) обязательства по ипотеке в случае разделения суммы кредита между супругами.</w:t>
      </w:r>
      <w:r w:rsidRPr="00DD1005">
        <w:rPr>
          <w:rFonts w:ascii="Arial" w:eastAsia="Times New Roman" w:hAnsi="Arial" w:cs="Arial"/>
          <w:color w:val="333333"/>
          <w:sz w:val="21"/>
          <w:szCs w:val="21"/>
          <w:lang w:eastAsia="ru-RU"/>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 xml:space="preserve">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w:t>
      </w:r>
      <w:r w:rsidRPr="00DD1005">
        <w:rPr>
          <w:rFonts w:ascii="Arial" w:eastAsia="Times New Roman" w:hAnsi="Arial" w:cs="Arial"/>
          <w:b/>
          <w:bCs/>
          <w:color w:val="333333"/>
          <w:sz w:val="21"/>
          <w:szCs w:val="21"/>
          <w:lang w:eastAsia="ru-RU"/>
        </w:rPr>
        <w:lastRenderedPageBreak/>
        <w:t>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w:t>
      </w:r>
      <w:r w:rsidRPr="00DD1005">
        <w:rPr>
          <w:rFonts w:ascii="Arial" w:eastAsia="Times New Roman" w:hAnsi="Arial" w:cs="Arial"/>
          <w:color w:val="333333"/>
          <w:sz w:val="21"/>
          <w:szCs w:val="21"/>
          <w:lang w:eastAsia="ru-RU"/>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5:«Сумма обязательства» указываетсястраховая сумма по договору.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D1005">
        <w:rPr>
          <w:rFonts w:ascii="Arial" w:eastAsia="Times New Roman" w:hAnsi="Arial" w:cs="Arial"/>
          <w:color w:val="333333"/>
          <w:sz w:val="21"/>
          <w:szCs w:val="21"/>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бумаг.Для обязательств, выраженных в иностранной валюте, сумма указывается в рублях по курсу Банка России на отчетную дату.</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b/>
          <w:bCs/>
          <w:color w:val="333333"/>
          <w:sz w:val="21"/>
          <w:szCs w:val="21"/>
          <w:lang w:eastAsia="ru-RU"/>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D1005" w:rsidRPr="00DD1005" w:rsidRDefault="00DD1005" w:rsidP="00DD1005">
      <w:pPr>
        <w:numPr>
          <w:ilvl w:val="0"/>
          <w:numId w:val="8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D1005" w:rsidRPr="00DD1005" w:rsidRDefault="00DD1005" w:rsidP="00DD1005">
      <w:pPr>
        <w:numPr>
          <w:ilvl w:val="0"/>
          <w:numId w:val="8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D1005" w:rsidRPr="00DD1005" w:rsidRDefault="00DD1005" w:rsidP="00DD1005">
      <w:pPr>
        <w:numPr>
          <w:ilvl w:val="0"/>
          <w:numId w:val="8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При этом уничтоженные объекты имущества не подлежат отражению в данном разделе справки.</w:t>
      </w:r>
    </w:p>
    <w:p w:rsidR="00DD1005" w:rsidRPr="00DD1005" w:rsidRDefault="00DD1005" w:rsidP="00DD1005">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lastRenderedPageBreak/>
        <w:t>Договор мены не подлежит отражению в данном разделе справки, так как он является возмездным.</w:t>
      </w:r>
    </w:p>
    <w:p w:rsidR="00DD1005" w:rsidRPr="00DD1005" w:rsidRDefault="00DD1005" w:rsidP="00DD1005">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Каждый объект безвозмездной сделки указывается отдельно.</w:t>
      </w:r>
    </w:p>
    <w:p w:rsidR="00DD1005" w:rsidRPr="00DD1005" w:rsidRDefault="00DD1005" w:rsidP="00DD1005">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82настоящих Методических рекомендаций), местонахождение (адрес) в соответствии с пунктами 90-91настоящих Методических рекомендаций, площадь (кв. м) в соответствии с пунктом 92настоящих Методических рекомендаций.</w:t>
      </w:r>
    </w:p>
    <w:p w:rsidR="00DD1005" w:rsidRPr="00DD1005" w:rsidRDefault="00DD1005" w:rsidP="00DD1005">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строке «Транспортные средства» рекомендуется указывать вид, марку, модель транспортного средства, год изготовления, место регистрации.</w:t>
      </w:r>
    </w:p>
    <w:p w:rsidR="00DD1005" w:rsidRPr="00DD1005" w:rsidRDefault="00DD1005" w:rsidP="00DD1005">
      <w:pPr>
        <w:numPr>
          <w:ilvl w:val="0"/>
          <w:numId w:val="9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Для долей участияв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130настоящих Методических рекомендаций, местонахождение организации (адрес), уставный капитал в соответствии с пунктом 131настоящих Методических рекомендаций, доли участия в соответствии с пунктом 132настоящих Методических рекомендаций.</w:t>
      </w:r>
    </w:p>
    <w:p w:rsidR="00DD1005" w:rsidRPr="00DD1005" w:rsidRDefault="00DD1005" w:rsidP="00DD1005">
      <w:pPr>
        <w:numPr>
          <w:ilvl w:val="0"/>
          <w:numId w:val="9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«Приобретатель имущества по сделке» в случае безвозмездной сделки с физическим лицом указываются 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D1005" w:rsidRPr="00DD1005" w:rsidRDefault="00DD1005" w:rsidP="00DD1005">
      <w:pPr>
        <w:shd w:val="clear" w:color="auto" w:fill="FFFFFF"/>
        <w:spacing w:after="150" w:line="240" w:lineRule="auto"/>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DD1005" w:rsidRPr="00DD1005" w:rsidRDefault="00DD1005" w:rsidP="00DD1005">
      <w:pPr>
        <w:numPr>
          <w:ilvl w:val="0"/>
          <w:numId w:val="9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D1005">
        <w:rPr>
          <w:rFonts w:ascii="Arial" w:eastAsia="Times New Roman" w:hAnsi="Arial" w:cs="Arial"/>
          <w:color w:val="333333"/>
          <w:sz w:val="21"/>
          <w:szCs w:val="21"/>
          <w:lang w:eastAsia="ru-RU"/>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0C0"/>
    <w:multiLevelType w:val="multilevel"/>
    <w:tmpl w:val="FC90E30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159A4"/>
    <w:multiLevelType w:val="multilevel"/>
    <w:tmpl w:val="4014CC18"/>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44851"/>
    <w:multiLevelType w:val="multilevel"/>
    <w:tmpl w:val="0B24D8EA"/>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577E3"/>
    <w:multiLevelType w:val="multilevel"/>
    <w:tmpl w:val="2D9AE6DE"/>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45E79"/>
    <w:multiLevelType w:val="multilevel"/>
    <w:tmpl w:val="227C3892"/>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A3D7E"/>
    <w:multiLevelType w:val="multilevel"/>
    <w:tmpl w:val="7C6A7DB2"/>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A635F"/>
    <w:multiLevelType w:val="multilevel"/>
    <w:tmpl w:val="16A07CE8"/>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C1A80"/>
    <w:multiLevelType w:val="multilevel"/>
    <w:tmpl w:val="D212735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E97E5F"/>
    <w:multiLevelType w:val="multilevel"/>
    <w:tmpl w:val="92D8FD2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4364C"/>
    <w:multiLevelType w:val="multilevel"/>
    <w:tmpl w:val="62ACE34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0B643A"/>
    <w:multiLevelType w:val="multilevel"/>
    <w:tmpl w:val="920A202A"/>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C29FD"/>
    <w:multiLevelType w:val="multilevel"/>
    <w:tmpl w:val="1DE41E5A"/>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03338"/>
    <w:multiLevelType w:val="multilevel"/>
    <w:tmpl w:val="5880BCD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5F31D9"/>
    <w:multiLevelType w:val="multilevel"/>
    <w:tmpl w:val="3B6CE692"/>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FF7A35"/>
    <w:multiLevelType w:val="multilevel"/>
    <w:tmpl w:val="2B46759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585847"/>
    <w:multiLevelType w:val="multilevel"/>
    <w:tmpl w:val="AF84E8D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0A1117"/>
    <w:multiLevelType w:val="multilevel"/>
    <w:tmpl w:val="82D4A574"/>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A2383"/>
    <w:multiLevelType w:val="multilevel"/>
    <w:tmpl w:val="35CADD0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7D6CC8"/>
    <w:multiLevelType w:val="multilevel"/>
    <w:tmpl w:val="1CC2907A"/>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9D2BCA"/>
    <w:multiLevelType w:val="multilevel"/>
    <w:tmpl w:val="27E86698"/>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587717"/>
    <w:multiLevelType w:val="multilevel"/>
    <w:tmpl w:val="ECE49442"/>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A72DC1"/>
    <w:multiLevelType w:val="multilevel"/>
    <w:tmpl w:val="F59C030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D347AD"/>
    <w:multiLevelType w:val="multilevel"/>
    <w:tmpl w:val="EFE0275A"/>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DF1630"/>
    <w:multiLevelType w:val="multilevel"/>
    <w:tmpl w:val="AA8EAB6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EF6F13"/>
    <w:multiLevelType w:val="multilevel"/>
    <w:tmpl w:val="107CC96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474555"/>
    <w:multiLevelType w:val="multilevel"/>
    <w:tmpl w:val="0F300D04"/>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52019B"/>
    <w:multiLevelType w:val="multilevel"/>
    <w:tmpl w:val="A1E4153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C3067A"/>
    <w:multiLevelType w:val="multilevel"/>
    <w:tmpl w:val="48EC114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007008"/>
    <w:multiLevelType w:val="multilevel"/>
    <w:tmpl w:val="7F26779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0F5534"/>
    <w:multiLevelType w:val="multilevel"/>
    <w:tmpl w:val="DA42B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ED306E"/>
    <w:multiLevelType w:val="multilevel"/>
    <w:tmpl w:val="692E7F1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0C431E"/>
    <w:multiLevelType w:val="multilevel"/>
    <w:tmpl w:val="2C52939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854D93"/>
    <w:multiLevelType w:val="multilevel"/>
    <w:tmpl w:val="A864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6B6DFD"/>
    <w:multiLevelType w:val="multilevel"/>
    <w:tmpl w:val="A72AA1EE"/>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1C6D82"/>
    <w:multiLevelType w:val="multilevel"/>
    <w:tmpl w:val="A1A6F10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562A52"/>
    <w:multiLevelType w:val="multilevel"/>
    <w:tmpl w:val="97A07F1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8247FA"/>
    <w:multiLevelType w:val="multilevel"/>
    <w:tmpl w:val="169C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B61BCB"/>
    <w:multiLevelType w:val="multilevel"/>
    <w:tmpl w:val="05FA8ED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A720E0"/>
    <w:multiLevelType w:val="multilevel"/>
    <w:tmpl w:val="B07A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EA3599"/>
    <w:multiLevelType w:val="multilevel"/>
    <w:tmpl w:val="E24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705C7B"/>
    <w:multiLevelType w:val="multilevel"/>
    <w:tmpl w:val="39D64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C808CC"/>
    <w:multiLevelType w:val="multilevel"/>
    <w:tmpl w:val="4DE0D84E"/>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517FE8"/>
    <w:multiLevelType w:val="multilevel"/>
    <w:tmpl w:val="9142FC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E62F46"/>
    <w:multiLevelType w:val="multilevel"/>
    <w:tmpl w:val="76ECC32E"/>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EE6076"/>
    <w:multiLevelType w:val="multilevel"/>
    <w:tmpl w:val="A5B82D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D51081"/>
    <w:multiLevelType w:val="multilevel"/>
    <w:tmpl w:val="971C9F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D51817"/>
    <w:multiLevelType w:val="multilevel"/>
    <w:tmpl w:val="C40EC0D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BC7F27"/>
    <w:multiLevelType w:val="multilevel"/>
    <w:tmpl w:val="B88EB94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CF575E"/>
    <w:multiLevelType w:val="multilevel"/>
    <w:tmpl w:val="DF4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286814"/>
    <w:multiLevelType w:val="multilevel"/>
    <w:tmpl w:val="263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FE031C"/>
    <w:multiLevelType w:val="multilevel"/>
    <w:tmpl w:val="EF18305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260A1B"/>
    <w:multiLevelType w:val="multilevel"/>
    <w:tmpl w:val="D256A2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2B1820"/>
    <w:multiLevelType w:val="multilevel"/>
    <w:tmpl w:val="75268CFC"/>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2D1008"/>
    <w:multiLevelType w:val="multilevel"/>
    <w:tmpl w:val="68724E6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5034F"/>
    <w:multiLevelType w:val="multilevel"/>
    <w:tmpl w:val="3C68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A125DC"/>
    <w:multiLevelType w:val="multilevel"/>
    <w:tmpl w:val="420C1CBA"/>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087AB6"/>
    <w:multiLevelType w:val="multilevel"/>
    <w:tmpl w:val="D3841606"/>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655B54"/>
    <w:multiLevelType w:val="multilevel"/>
    <w:tmpl w:val="B8F63EE8"/>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5B0A0C"/>
    <w:multiLevelType w:val="multilevel"/>
    <w:tmpl w:val="3D8A47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CA66A4"/>
    <w:multiLevelType w:val="multilevel"/>
    <w:tmpl w:val="BEBCB04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5836C6"/>
    <w:multiLevelType w:val="multilevel"/>
    <w:tmpl w:val="F792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736055"/>
    <w:multiLevelType w:val="multilevel"/>
    <w:tmpl w:val="E19E2F4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223660"/>
    <w:multiLevelType w:val="multilevel"/>
    <w:tmpl w:val="608EB9CC"/>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BF441D"/>
    <w:multiLevelType w:val="multilevel"/>
    <w:tmpl w:val="AC44232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0950379"/>
    <w:multiLevelType w:val="multilevel"/>
    <w:tmpl w:val="C0A8A26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8749B6"/>
    <w:multiLevelType w:val="multilevel"/>
    <w:tmpl w:val="323C7A9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9D622D"/>
    <w:multiLevelType w:val="multilevel"/>
    <w:tmpl w:val="3CCC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E3649A"/>
    <w:multiLevelType w:val="multilevel"/>
    <w:tmpl w:val="73143A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9457DE"/>
    <w:multiLevelType w:val="multilevel"/>
    <w:tmpl w:val="2A7C53E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A25CBB"/>
    <w:multiLevelType w:val="multilevel"/>
    <w:tmpl w:val="5F780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B524EF"/>
    <w:multiLevelType w:val="multilevel"/>
    <w:tmpl w:val="22927C7E"/>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27350D"/>
    <w:multiLevelType w:val="multilevel"/>
    <w:tmpl w:val="E406407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830847"/>
    <w:multiLevelType w:val="multilevel"/>
    <w:tmpl w:val="9922180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7A03CF1"/>
    <w:multiLevelType w:val="multilevel"/>
    <w:tmpl w:val="77CAFCD4"/>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927AEF"/>
    <w:multiLevelType w:val="multilevel"/>
    <w:tmpl w:val="E7E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F12F08"/>
    <w:multiLevelType w:val="multilevel"/>
    <w:tmpl w:val="15B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360244"/>
    <w:multiLevelType w:val="multilevel"/>
    <w:tmpl w:val="2BBAD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57402A"/>
    <w:multiLevelType w:val="multilevel"/>
    <w:tmpl w:val="AA3C6FD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A6476"/>
    <w:multiLevelType w:val="multilevel"/>
    <w:tmpl w:val="908EFD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F147D2"/>
    <w:multiLevelType w:val="multilevel"/>
    <w:tmpl w:val="F2589A76"/>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7920B7"/>
    <w:multiLevelType w:val="multilevel"/>
    <w:tmpl w:val="9BE88DD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BD0C63"/>
    <w:multiLevelType w:val="multilevel"/>
    <w:tmpl w:val="BBC292E6"/>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F13FDD"/>
    <w:multiLevelType w:val="multilevel"/>
    <w:tmpl w:val="656427B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52A22F0"/>
    <w:multiLevelType w:val="multilevel"/>
    <w:tmpl w:val="F2184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3C4BBD"/>
    <w:multiLevelType w:val="multilevel"/>
    <w:tmpl w:val="9BE8B90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D84384"/>
    <w:multiLevelType w:val="multilevel"/>
    <w:tmpl w:val="AE3A9086"/>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A367B3"/>
    <w:multiLevelType w:val="multilevel"/>
    <w:tmpl w:val="F5FE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3B305C"/>
    <w:multiLevelType w:val="multilevel"/>
    <w:tmpl w:val="EB9A04B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5A50A2"/>
    <w:multiLevelType w:val="multilevel"/>
    <w:tmpl w:val="4D76373E"/>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BD09A8"/>
    <w:multiLevelType w:val="multilevel"/>
    <w:tmpl w:val="61DEE0B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2D4347"/>
    <w:multiLevelType w:val="multilevel"/>
    <w:tmpl w:val="80CEE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FC866B8"/>
    <w:multiLevelType w:val="multilevel"/>
    <w:tmpl w:val="DD70A72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86"/>
  </w:num>
  <w:num w:numId="3">
    <w:abstractNumId w:val="32"/>
  </w:num>
  <w:num w:numId="4">
    <w:abstractNumId w:val="83"/>
  </w:num>
  <w:num w:numId="5">
    <w:abstractNumId w:val="39"/>
  </w:num>
  <w:num w:numId="6">
    <w:abstractNumId w:val="76"/>
  </w:num>
  <w:num w:numId="7">
    <w:abstractNumId w:val="40"/>
  </w:num>
  <w:num w:numId="8">
    <w:abstractNumId w:val="69"/>
  </w:num>
  <w:num w:numId="9">
    <w:abstractNumId w:val="29"/>
  </w:num>
  <w:num w:numId="10">
    <w:abstractNumId w:val="36"/>
  </w:num>
  <w:num w:numId="11">
    <w:abstractNumId w:val="90"/>
  </w:num>
  <w:num w:numId="12">
    <w:abstractNumId w:val="78"/>
  </w:num>
  <w:num w:numId="13">
    <w:abstractNumId w:val="45"/>
  </w:num>
  <w:num w:numId="14">
    <w:abstractNumId w:val="75"/>
  </w:num>
  <w:num w:numId="15">
    <w:abstractNumId w:val="48"/>
  </w:num>
  <w:num w:numId="16">
    <w:abstractNumId w:val="67"/>
  </w:num>
  <w:num w:numId="17">
    <w:abstractNumId w:val="66"/>
  </w:num>
  <w:num w:numId="18">
    <w:abstractNumId w:val="58"/>
  </w:num>
  <w:num w:numId="19">
    <w:abstractNumId w:val="42"/>
  </w:num>
  <w:num w:numId="20">
    <w:abstractNumId w:val="51"/>
  </w:num>
  <w:num w:numId="21">
    <w:abstractNumId w:val="44"/>
  </w:num>
  <w:num w:numId="22">
    <w:abstractNumId w:val="9"/>
  </w:num>
  <w:num w:numId="23">
    <w:abstractNumId w:val="71"/>
  </w:num>
  <w:num w:numId="24">
    <w:abstractNumId w:val="35"/>
  </w:num>
  <w:num w:numId="25">
    <w:abstractNumId w:val="89"/>
  </w:num>
  <w:num w:numId="26">
    <w:abstractNumId w:val="91"/>
  </w:num>
  <w:num w:numId="27">
    <w:abstractNumId w:val="54"/>
  </w:num>
  <w:num w:numId="28">
    <w:abstractNumId w:val="23"/>
  </w:num>
  <w:num w:numId="29">
    <w:abstractNumId w:val="53"/>
  </w:num>
  <w:num w:numId="30">
    <w:abstractNumId w:val="46"/>
  </w:num>
  <w:num w:numId="31">
    <w:abstractNumId w:val="72"/>
  </w:num>
  <w:num w:numId="32">
    <w:abstractNumId w:val="77"/>
  </w:num>
  <w:num w:numId="33">
    <w:abstractNumId w:val="28"/>
  </w:num>
  <w:num w:numId="34">
    <w:abstractNumId w:val="31"/>
  </w:num>
  <w:num w:numId="35">
    <w:abstractNumId w:val="64"/>
  </w:num>
  <w:num w:numId="36">
    <w:abstractNumId w:val="24"/>
  </w:num>
  <w:num w:numId="37">
    <w:abstractNumId w:val="37"/>
  </w:num>
  <w:num w:numId="38">
    <w:abstractNumId w:val="68"/>
  </w:num>
  <w:num w:numId="39">
    <w:abstractNumId w:val="47"/>
  </w:num>
  <w:num w:numId="40">
    <w:abstractNumId w:val="59"/>
  </w:num>
  <w:num w:numId="41">
    <w:abstractNumId w:val="74"/>
  </w:num>
  <w:num w:numId="42">
    <w:abstractNumId w:val="49"/>
  </w:num>
  <w:num w:numId="43">
    <w:abstractNumId w:val="8"/>
  </w:num>
  <w:num w:numId="44">
    <w:abstractNumId w:val="17"/>
  </w:num>
  <w:num w:numId="45">
    <w:abstractNumId w:val="21"/>
  </w:num>
  <w:num w:numId="46">
    <w:abstractNumId w:val="65"/>
  </w:num>
  <w:num w:numId="47">
    <w:abstractNumId w:val="84"/>
  </w:num>
  <w:num w:numId="48">
    <w:abstractNumId w:val="56"/>
  </w:num>
  <w:num w:numId="49">
    <w:abstractNumId w:val="30"/>
  </w:num>
  <w:num w:numId="50">
    <w:abstractNumId w:val="0"/>
  </w:num>
  <w:num w:numId="51">
    <w:abstractNumId w:val="87"/>
  </w:num>
  <w:num w:numId="52">
    <w:abstractNumId w:val="50"/>
  </w:num>
  <w:num w:numId="53">
    <w:abstractNumId w:val="14"/>
  </w:num>
  <w:num w:numId="54">
    <w:abstractNumId w:val="61"/>
  </w:num>
  <w:num w:numId="55">
    <w:abstractNumId w:val="7"/>
  </w:num>
  <w:num w:numId="56">
    <w:abstractNumId w:val="2"/>
  </w:num>
  <w:num w:numId="57">
    <w:abstractNumId w:val="3"/>
  </w:num>
  <w:num w:numId="58">
    <w:abstractNumId w:val="34"/>
  </w:num>
  <w:num w:numId="59">
    <w:abstractNumId w:val="55"/>
  </w:num>
  <w:num w:numId="60">
    <w:abstractNumId w:val="27"/>
  </w:num>
  <w:num w:numId="61">
    <w:abstractNumId w:val="22"/>
  </w:num>
  <w:num w:numId="62">
    <w:abstractNumId w:val="85"/>
  </w:num>
  <w:num w:numId="63">
    <w:abstractNumId w:val="82"/>
  </w:num>
  <w:num w:numId="64">
    <w:abstractNumId w:val="11"/>
  </w:num>
  <w:num w:numId="65">
    <w:abstractNumId w:val="73"/>
  </w:num>
  <w:num w:numId="66">
    <w:abstractNumId w:val="80"/>
  </w:num>
  <w:num w:numId="67">
    <w:abstractNumId w:val="1"/>
  </w:num>
  <w:num w:numId="68">
    <w:abstractNumId w:val="25"/>
  </w:num>
  <w:num w:numId="69">
    <w:abstractNumId w:val="63"/>
  </w:num>
  <w:num w:numId="70">
    <w:abstractNumId w:val="5"/>
  </w:num>
  <w:num w:numId="71">
    <w:abstractNumId w:val="52"/>
  </w:num>
  <w:num w:numId="72">
    <w:abstractNumId w:val="18"/>
  </w:num>
  <w:num w:numId="73">
    <w:abstractNumId w:val="10"/>
  </w:num>
  <w:num w:numId="74">
    <w:abstractNumId w:val="15"/>
  </w:num>
  <w:num w:numId="75">
    <w:abstractNumId w:val="70"/>
  </w:num>
  <w:num w:numId="76">
    <w:abstractNumId w:val="41"/>
  </w:num>
  <w:num w:numId="77">
    <w:abstractNumId w:val="62"/>
  </w:num>
  <w:num w:numId="78">
    <w:abstractNumId w:val="19"/>
  </w:num>
  <w:num w:numId="79">
    <w:abstractNumId w:val="20"/>
  </w:num>
  <w:num w:numId="80">
    <w:abstractNumId w:val="13"/>
  </w:num>
  <w:num w:numId="81">
    <w:abstractNumId w:val="88"/>
  </w:num>
  <w:num w:numId="82">
    <w:abstractNumId w:val="60"/>
  </w:num>
  <w:num w:numId="83">
    <w:abstractNumId w:val="81"/>
  </w:num>
  <w:num w:numId="84">
    <w:abstractNumId w:val="12"/>
  </w:num>
  <w:num w:numId="85">
    <w:abstractNumId w:val="4"/>
  </w:num>
  <w:num w:numId="86">
    <w:abstractNumId w:val="43"/>
  </w:num>
  <w:num w:numId="87">
    <w:abstractNumId w:val="26"/>
  </w:num>
  <w:num w:numId="88">
    <w:abstractNumId w:val="16"/>
  </w:num>
  <w:num w:numId="89">
    <w:abstractNumId w:val="79"/>
  </w:num>
  <w:num w:numId="90">
    <w:abstractNumId w:val="6"/>
  </w:num>
  <w:num w:numId="91">
    <w:abstractNumId w:val="33"/>
  </w:num>
  <w:num w:numId="92">
    <w:abstractNumId w:val="5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05"/>
    <w:rsid w:val="00B93943"/>
    <w:rsid w:val="00DD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20155-6535-49E3-AF73-6B4ACC09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005"/>
    <w:rPr>
      <w:b/>
      <w:bCs/>
    </w:rPr>
  </w:style>
  <w:style w:type="character" w:styleId="a5">
    <w:name w:val="Hyperlink"/>
    <w:basedOn w:val="a0"/>
    <w:uiPriority w:val="99"/>
    <w:semiHidden/>
    <w:unhideWhenUsed/>
    <w:rsid w:val="00DD1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page/index/spravki_bk" TargetMode="External"/><Relationship Id="rId18" Type="http://schemas.openxmlformats.org/officeDocument/2006/relationships/hyperlink" Target="http://www.cbr.ru/hd_base/?PrtId=metall_base_n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br.ru/credit/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fl/interest/inf_b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www.cbr.ru/currency_base/daily.aspx"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18111</Words>
  <Characters>103233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2024-02-20T05:43:00Z</dcterms:created>
  <dcterms:modified xsi:type="dcterms:W3CDTF">2024-02-20T05:43:00Z</dcterms:modified>
</cp:coreProperties>
</file>