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FF" w:rsidRDefault="00F905FF" w:rsidP="00F905F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5FF" w:rsidRDefault="00F905FF" w:rsidP="00F905F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5FF" w:rsidRDefault="00F905FF" w:rsidP="00F905F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в течение двух лет со дня увольнения с федеральной государственной службы: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2010 г. № 821</w:t>
        </w:r>
      </w:hyperlink>
      <w:r>
        <w:rPr>
          <w:color w:val="333333"/>
          <w:sz w:val="27"/>
          <w:szCs w:val="27"/>
        </w:rPr>
        <w:t>;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</w:t>
      </w:r>
      <w:r>
        <w:rPr>
          <w:color w:val="333333"/>
          <w:sz w:val="27"/>
          <w:szCs w:val="27"/>
        </w:rPr>
        <w:lastRenderedPageBreak/>
        <w:t>государственной службы с соблюдением законодательства Российской Федерации о государственной тайне.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изменение в Указ Президента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5FF" w:rsidRDefault="00F905FF" w:rsidP="00F905F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F905FF" w:rsidRDefault="00F905FF" w:rsidP="00F905F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925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FF"/>
    <w:rsid w:val="00B93943"/>
    <w:rsid w:val="00F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B31DA-092A-4290-9784-7452C38E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9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F905FF"/>
  </w:style>
  <w:style w:type="paragraph" w:customStyle="1" w:styleId="i">
    <w:name w:val="i"/>
    <w:basedOn w:val="a"/>
    <w:rsid w:val="00F9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40280&amp;backlink=1&amp;&amp;nd=102132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40280&amp;backlink=1&amp;&amp;nd=102139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0280&amp;backlink=1&amp;&amp;nd=1021296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40280&amp;backlink=1&amp;&amp;nd=1021296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40280&amp;backlink=1&amp;&amp;nd=102126657" TargetMode="External"/><Relationship Id="rId9" Type="http://schemas.openxmlformats.org/officeDocument/2006/relationships/hyperlink" Target="http://pravo.gov.ru/proxy/ips/?docbody=&amp;prevDoc=102140280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2024-02-20T03:50:00Z</dcterms:created>
  <dcterms:modified xsi:type="dcterms:W3CDTF">2024-02-20T03:50:00Z</dcterms:modified>
</cp:coreProperties>
</file>