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5F" w:rsidRDefault="00C22E5F" w:rsidP="00C22E5F">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C22E5F">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земельных участков: Новопушкинское сельское поселение, п. Коминтерн, ул. Тепличная, земельный участок 20</w:t>
      </w:r>
    </w:p>
    <w:p w:rsidR="00C22E5F" w:rsidRDefault="00C22E5F" w:rsidP="00C22E5F">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область, Энгельсский муниципальный район Саратовской области, Новопушкинское сельское поселение, п. Коминтерн, ул. Тепличная, земельный участок 20</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2011</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64:38:050104:374</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«склады»</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«16» сентября 2022г. до 17 часов 30 минут по местному «17» октября 2022г.</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20 октября 2022 года,</w:t>
      </w:r>
      <w:r>
        <w:rPr>
          <w:rFonts w:ascii="Arial" w:hAnsi="Arial" w:cs="Arial"/>
          <w:color w:val="333333"/>
          <w:sz w:val="21"/>
          <w:szCs w:val="21"/>
        </w:rPr>
        <w:br/>
        <w:t>09 часов 00 минут, г. Энгельс, пл. Ленина, д.30, 1 этаж, зал заседаний.</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Энгельсского муниципального района «Наше слово – газета для всех и для каждого».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22E5F" w:rsidRDefault="00C22E5F" w:rsidP="00C22E5F">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«УТВЕРЖДАЮ»</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____________________О.Н.Журило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«16» сентября 2022 г.</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C22E5F" w:rsidRDefault="00C22E5F" w:rsidP="00C22E5F">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«07» июля 2022 года № 2977.</w:t>
      </w:r>
    </w:p>
    <w:p w:rsidR="00C22E5F" w:rsidRDefault="00C22E5F" w:rsidP="00C22E5F">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Дата, время и место проведения аукциона «</w:t>
      </w:r>
      <w:r>
        <w:rPr>
          <w:rFonts w:ascii="Arial" w:hAnsi="Arial" w:cs="Arial"/>
          <w:color w:val="333333"/>
          <w:sz w:val="21"/>
          <w:szCs w:val="21"/>
        </w:rPr>
        <w:t>20» октября 2022 г. в 9 часов 00 минут по местному времени по адресу: г. Энгельс, пл. Ленина, д. 30, 1 этаж, зал заседаний.</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0"/>
        <w:gridCol w:w="4685"/>
      </w:tblGrid>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сельское поселение, п. Коминтерн, ул. Тепличная, земельный участок 20</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2011</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64:38:050104:374</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склады</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489 000 руб.00 коп</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14 670 руб. 00 коп.</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 года 10 месяцев</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C22E5F" w:rsidRDefault="00C22E5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489 000 руб. 00 коп</w:t>
            </w:r>
          </w:p>
        </w:tc>
      </w:tr>
    </w:tbl>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земельном участке находятся остатки строительного мусора.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Правилами землепользования и застройки Новопушкинского муниципального образования Энгельсского муниципального района Саратовской области земельный участок расположен в территориальной зоне производственно-коммунальных объектов 3-го типа (П-3).</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Одним из основных видов разрешенного использования указанной территориальной зоны является вид разрешенного использования – склады: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8"/>
        <w:gridCol w:w="3253"/>
        <w:gridCol w:w="2277"/>
        <w:gridCol w:w="1947"/>
      </w:tblGrid>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Наименование основного вида разрешенного использования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Описание основного вида разрешенного использования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Вспомогательные виды разрешенного использования (установленные к основному)</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Код (числовое обозначение) основного вида разрешенного использования</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Склады</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элеваторы и продовольственные склады</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Гостевые автостоянки;</w:t>
            </w:r>
          </w:p>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Площадки для сбора мусора</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6.9</w:t>
            </w:r>
          </w:p>
        </w:tc>
      </w:tr>
    </w:tbl>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46"/>
        <w:gridCol w:w="6909"/>
      </w:tblGrid>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РАЗМЕРЫ ЗЕМЕЛЬНЫХ УЧАСТКОВ,  В ТОМ ЧИСЛЕ ИХ ПЛОЩАДЬ</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гаража:</w:t>
            </w:r>
          </w:p>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 метров</w:t>
            </w:r>
          </w:p>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 кв. метров</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строительства индивидуального хоз.блока:</w:t>
            </w:r>
          </w:p>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кв. метров</w:t>
            </w:r>
          </w:p>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 метров</w:t>
            </w:r>
          </w:p>
        </w:tc>
      </w:tr>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Количество этажей</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Высота зданий, сооружений</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застройки в границах земельного участка,</w:t>
            </w:r>
          </w:p>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определяемый как отношение суммарной площади земельного участка, которая может быть застроена, ко всей площади земельного участка</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Минимальные отступы от границ земельных участков</w:t>
            </w:r>
          </w:p>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целях определения мест допустимого размещения зданий,</w:t>
            </w:r>
          </w:p>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строений, сооружений, за пределами которых запрещено строительство зданий, строений, сооружений</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озеленения</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C22E5F" w:rsidTr="00C22E5F">
        <w:tc>
          <w:tcPr>
            <w:tcW w:w="0" w:type="auto"/>
            <w:gridSpan w:val="2"/>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Иные показатели</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Предельный размер санитарно-защитной зоны</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300 метров</w:t>
            </w:r>
          </w:p>
        </w:tc>
      </w:tr>
    </w:tbl>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Генеральным планом Новопушкинского муниципального образования Энгельсского муниципального района Саратовской области, Картой границ населенных пунктов, Картой функциональных зон испрашиваемый земельный участок расположен в проектируемой функциональной зоне производственно-коммунальных объектов, которая предназначена для размещения объектов производственного и коммунального назначения и сопутствующей инфраструктуры.</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Согласно Генеральному плану Новопушкинского муниципального образования Энгельсского муниципального района Саратовской области, Карте планируемого размещения объектов местного значения на территории испрашиваемого земельного участка объекты местного значения не размещаются.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с особыми условиями использования территории,  границ территорий объектов культурного наследия земельный участок находится в зоне санитарного разрыва от нефтепровода до гидротехнических сооружений.</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Технические условия: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Электроснабжение:</w:t>
      </w:r>
    </w:p>
    <w:p w:rsidR="00C22E5F" w:rsidRDefault="00C22E5F" w:rsidP="00C22E5F">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 и теплоснабжение: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инженерные сети, стоящие на балансе МУП «Покровск-тепло» в границах вышеуказанного земельного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83"/>
        <w:gridCol w:w="272"/>
      </w:tblGrid>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C22E5F" w:rsidRDefault="00C22E5F">
            <w:pPr>
              <w:rPr>
                <w:rFonts w:ascii="Arial" w:hAnsi="Arial" w:cs="Arial"/>
                <w:color w:val="333333"/>
                <w:sz w:val="21"/>
                <w:szCs w:val="21"/>
              </w:rPr>
            </w:pPr>
            <w:r>
              <w:rPr>
                <w:rFonts w:ascii="Arial" w:hAnsi="Arial" w:cs="Arial"/>
                <w:color w:val="333333"/>
                <w:sz w:val="21"/>
                <w:szCs w:val="21"/>
              </w:rPr>
              <w:t> </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bl>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«Энгельс-Водоканал» имеет возможность технологического присоединения к централизованным сетям холодного водоснабжения и водоотведения: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81"/>
        <w:gridCol w:w="5874"/>
      </w:tblGrid>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C22E5F" w:rsidRDefault="00C22E5F">
            <w:pPr>
              <w:rPr>
                <w:rFonts w:ascii="Arial" w:hAnsi="Arial" w:cs="Arial"/>
                <w:color w:val="333333"/>
                <w:sz w:val="21"/>
                <w:szCs w:val="21"/>
              </w:rPr>
            </w:pPr>
            <w:r>
              <w:rPr>
                <w:rFonts w:ascii="Arial" w:hAnsi="Arial" w:cs="Arial"/>
                <w:color w:val="333333"/>
                <w:sz w:val="21"/>
                <w:szCs w:val="21"/>
              </w:rPr>
              <w:t> </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1,56 м3/сутки</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1,56 м3/сутки</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постановлению Правительства РФ от 30.11.2021 № 2130 «Об утверждении правил подключения объектов капитального строительства к централизованным системам горячего водоснабжения, холодного водоснабжения и водоотведения» технические условия являются приложением к договору о подключении и выдаются на основании запроса по установленной форме с приложением соответствующих документов (п.14 Постановления РФ) лицам, имеющим право обратиться за техническими условиями (п.9 Постановления РФ)</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объекта определяется в договоре о подключении к централизованным сетям холодного водоснабжения и/или водоотведения и рассчитывается на основании тарифа на подключение, утвержденного Постановлением комитета государственного регулирования тарифов Саратовской области от 28.12.2020 №53/5, или платы за подключение, устанавливаемой органом регулирования тарифов Саратовской области.</w:t>
            </w:r>
          </w:p>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окончания срока действия тарифа, установленного постановлением Комитет государственного регулирования тарифов Саратовской области от 28.12.2020 №53/5, 31 декабря 2022. В случае утверждения тарифа в индивидуальном порядке срок действия тарифа будет определен органом регулирования тарифов Саратовской области.</w:t>
            </w:r>
          </w:p>
        </w:tc>
      </w:tr>
    </w:tbl>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Техническая возможность подключения данного объекта к системе холодного водоснабжения имеется.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Точками подключения будут являться: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Водопроводная линия Д=100 мм по ул. Коммунистическая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водоотведению предусмотреть септик. Обращаться в ФБУЗ «Центр гигиены и эпидемиологии в Саратовской области в Энгельсском районе» пр. Строителей, 7а, каб.412</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Газораспределение: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ООО «Покровсктрансгаз»:</w:t>
      </w:r>
      <w:r>
        <w:rPr>
          <w:rFonts w:ascii="Arial" w:hAnsi="Arial" w:cs="Arial"/>
          <w:color w:val="333333"/>
          <w:sz w:val="21"/>
          <w:szCs w:val="21"/>
        </w:rPr>
        <w:t> Предварительная техническая возможность подключения объекта капитального строительства, размещение которого планируется на земельном участке, имеется от существующего подземного стального газопровода низкого давления, расположенного в 400 метрах от границы данного зем. участка в п. Коментерн по улице Каштановая, Энгельсского района Саратовской области, диаметром 57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3367"/>
      </w:tblGrid>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C22E5F" w:rsidRDefault="00C22E5F">
            <w:pPr>
              <w:rPr>
                <w:rFonts w:ascii="Arial" w:hAnsi="Arial" w:cs="Arial"/>
                <w:color w:val="333333"/>
                <w:sz w:val="21"/>
                <w:szCs w:val="21"/>
              </w:rPr>
            </w:pPr>
            <w:r>
              <w:rPr>
                <w:rFonts w:ascii="Arial" w:hAnsi="Arial" w:cs="Arial"/>
                <w:color w:val="333333"/>
                <w:sz w:val="21"/>
                <w:szCs w:val="21"/>
              </w:rPr>
              <w:t> </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30-ти рабочих дней со дня подписания договора подряда заказчиком</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ПАО «Ростелеком»:</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районе земельного участка с местоположением: пос. Новопушкинское, п. Коминтерн, ул. Тепличная, з/у 20, с кадастровым номером 64:38:050104:374, коммуникации, обслуживаемые ПАО «Ростелеком» отсутствуют.</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подключения объекта капитального строительства к сетям ПАО «Ростелеком» требуется прокладка ВОЛС 1800м. от АТС. Техническая возможность подключения указана в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75"/>
        <w:gridCol w:w="2080"/>
      </w:tblGrid>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ПАО «Ростелеком», в том числе:</w:t>
            </w:r>
          </w:p>
        </w:tc>
        <w:tc>
          <w:tcPr>
            <w:tcW w:w="0" w:type="auto"/>
            <w:shd w:val="clear" w:color="auto" w:fill="FFFFFF"/>
            <w:vAlign w:val="center"/>
            <w:hideMark/>
          </w:tcPr>
          <w:p w:rsidR="00C22E5F" w:rsidRDefault="00C22E5F">
            <w:pPr>
              <w:rPr>
                <w:rFonts w:ascii="Arial" w:hAnsi="Arial" w:cs="Arial"/>
                <w:color w:val="333333"/>
                <w:sz w:val="21"/>
                <w:szCs w:val="21"/>
              </w:rPr>
            </w:pPr>
            <w:r>
              <w:rPr>
                <w:rFonts w:ascii="Arial" w:hAnsi="Arial" w:cs="Arial"/>
                <w:color w:val="333333"/>
                <w:sz w:val="21"/>
                <w:szCs w:val="21"/>
              </w:rPr>
              <w:t> </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в течении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(техническом присоединении)</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месяца</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зависимости от вида и параметров услуг</w:t>
            </w:r>
          </w:p>
        </w:tc>
      </w:tr>
    </w:tbl>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56- 84-20;</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«16» сентября 2022 года.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«17» октября 2022 года.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«16» сентября 2022 г.  размещено на официальном сайте Российской Федерации о проведении торгов www.torgi.gov.ru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представитель заявителя   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Ознакомившись с извещением № _______________________________________  опубликованным на сайте www.torgi.gov.ru  и </w:t>
      </w:r>
      <w:r>
        <w:rPr>
          <w:rFonts w:ascii="Arial" w:hAnsi="Arial" w:cs="Arial"/>
          <w:color w:val="333333"/>
          <w:sz w:val="21"/>
          <w:szCs w:val="21"/>
        </w:rPr>
        <w:lastRenderedPageBreak/>
        <w:t>на сайте www.engels-city.ru  от _______________________,  подтверждаю свое согласие о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Наименование банка___________________________________________________________________________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C22E5F" w:rsidRDefault="00C22E5F">
            <w:pPr>
              <w:rPr>
                <w:rFonts w:ascii="Arial" w:hAnsi="Arial" w:cs="Arial"/>
                <w:color w:val="333333"/>
                <w:sz w:val="21"/>
                <w:szCs w:val="21"/>
              </w:rPr>
            </w:pPr>
            <w:r>
              <w:rPr>
                <w:rFonts w:ascii="Arial" w:hAnsi="Arial" w:cs="Arial"/>
                <w:color w:val="333333"/>
                <w:sz w:val="21"/>
                <w:szCs w:val="21"/>
              </w:rPr>
              <w:t> </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C22E5F" w:rsidRDefault="00C22E5F">
            <w:pPr>
              <w:rPr>
                <w:rFonts w:ascii="Arial" w:hAnsi="Arial" w:cs="Arial"/>
                <w:color w:val="333333"/>
                <w:sz w:val="21"/>
                <w:szCs w:val="21"/>
              </w:rPr>
            </w:pPr>
            <w:r>
              <w:rPr>
                <w:rFonts w:ascii="Arial" w:hAnsi="Arial" w:cs="Arial"/>
                <w:color w:val="333333"/>
                <w:sz w:val="21"/>
                <w:szCs w:val="21"/>
              </w:rPr>
              <w:t> </w:t>
            </w:r>
          </w:p>
        </w:tc>
      </w:tr>
      <w:tr w:rsidR="00C22E5F" w:rsidTr="00C22E5F">
        <w:tc>
          <w:tcPr>
            <w:tcW w:w="0" w:type="auto"/>
            <w:shd w:val="clear" w:color="auto" w:fill="FFFFFF"/>
            <w:vAlign w:val="center"/>
            <w:hideMark/>
          </w:tcPr>
          <w:p w:rsidR="00C22E5F" w:rsidRDefault="00C22E5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C22E5F" w:rsidRDefault="00C22E5F">
            <w:pPr>
              <w:rPr>
                <w:rFonts w:ascii="Arial" w:hAnsi="Arial" w:cs="Arial"/>
                <w:color w:val="333333"/>
                <w:sz w:val="21"/>
                <w:szCs w:val="21"/>
              </w:rPr>
            </w:pPr>
            <w:r>
              <w:rPr>
                <w:rFonts w:ascii="Arial" w:hAnsi="Arial" w:cs="Arial"/>
                <w:color w:val="333333"/>
                <w:sz w:val="21"/>
                <w:szCs w:val="21"/>
              </w:rPr>
              <w:t> </w:t>
            </w:r>
          </w:p>
        </w:tc>
      </w:tr>
    </w:tbl>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C22E5F" w:rsidRDefault="00C22E5F" w:rsidP="00C22E5F">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 489 000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C22E5F" w:rsidRDefault="00C22E5F" w:rsidP="00C22E5F">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1.6. Внесение изменений в договор в части изменения вида разрешенного использования Земельного участка не допускается.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C22E5F" w:rsidRDefault="00C22E5F" w:rsidP="00C22E5F">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C22E5F" w:rsidRDefault="00C22E5F" w:rsidP="00C22E5F">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Права и обязанности Сторон</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C22E5F" w:rsidRDefault="00C22E5F" w:rsidP="00C22E5F">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C22E5F" w:rsidRDefault="00C22E5F" w:rsidP="00C22E5F">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C22E5F" w:rsidRDefault="00C22E5F" w:rsidP="00C22E5F">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нарушение обязательств, предусмотренных подпунктами «б»-«д», «ж»-«п» пункта 3.4 настоящего договора;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C22E5F" w:rsidRDefault="00C22E5F" w:rsidP="00C22E5F">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C22E5F" w:rsidRDefault="00C22E5F" w:rsidP="00C22E5F">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e-mail:_____________________________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C22E5F" w:rsidRDefault="00C22E5F" w:rsidP="00C22E5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w:t>
      </w:r>
      <w:r>
        <w:rPr>
          <w:rFonts w:ascii="Arial" w:hAnsi="Arial" w:cs="Arial"/>
          <w:color w:val="333333"/>
          <w:sz w:val="21"/>
          <w:szCs w:val="21"/>
        </w:rPr>
        <w:lastRenderedPageBreak/>
        <w:t>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C22E5F" w:rsidRDefault="00C22E5F" w:rsidP="00C22E5F">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971550"/>
            <wp:effectExtent l="0" t="0" r="0" b="0"/>
            <wp:docPr id="1" name="Рисунок 1" descr="16.09.2022">
              <a:hlinkClick xmlns:a="http://schemas.openxmlformats.org/drawingml/2006/main" r:id="rId9" tooltip="&quot;Извещение о проведении аукциона на право заключения договора аренды земельных участков: Новопушкинское сельское поселение, п. Коминтерн, ул. Тепличная, земельный участок 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9.2022">
                      <a:hlinkClick r:id="rId9" tooltip="&quot;Извещение о проведении аукциона на право заключения договора аренды земельных участков: Новопушкинское сельское поселение, п. Коминтерн, ул. Тепличная, земельный участок 20&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rsidR="00C22E5F" w:rsidRPr="00C22E5F" w:rsidRDefault="00C22E5F" w:rsidP="00C22E5F">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B2B"/>
    <w:multiLevelType w:val="multilevel"/>
    <w:tmpl w:val="868AF0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344A"/>
    <w:multiLevelType w:val="multilevel"/>
    <w:tmpl w:val="50E86A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22475"/>
    <w:multiLevelType w:val="multilevel"/>
    <w:tmpl w:val="A492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F2496"/>
    <w:multiLevelType w:val="multilevel"/>
    <w:tmpl w:val="7B921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76FDD"/>
    <w:multiLevelType w:val="multilevel"/>
    <w:tmpl w:val="7E945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5172C"/>
    <w:multiLevelType w:val="multilevel"/>
    <w:tmpl w:val="484286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A2B3D"/>
    <w:multiLevelType w:val="multilevel"/>
    <w:tmpl w:val="E6165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17064"/>
    <w:multiLevelType w:val="multilevel"/>
    <w:tmpl w:val="F7A877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50FF2"/>
    <w:multiLevelType w:val="multilevel"/>
    <w:tmpl w:val="F35C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06EE9"/>
    <w:multiLevelType w:val="multilevel"/>
    <w:tmpl w:val="60D8A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295545"/>
    <w:multiLevelType w:val="multilevel"/>
    <w:tmpl w:val="F7D07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2818F9"/>
    <w:multiLevelType w:val="multilevel"/>
    <w:tmpl w:val="7E18F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10949"/>
    <w:multiLevelType w:val="multilevel"/>
    <w:tmpl w:val="BCD26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640782"/>
    <w:multiLevelType w:val="multilevel"/>
    <w:tmpl w:val="64B62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2"/>
  </w:num>
  <w:num w:numId="4">
    <w:abstractNumId w:val="1"/>
  </w:num>
  <w:num w:numId="5">
    <w:abstractNumId w:val="3"/>
  </w:num>
  <w:num w:numId="6">
    <w:abstractNumId w:val="2"/>
  </w:num>
  <w:num w:numId="7">
    <w:abstractNumId w:val="10"/>
  </w:num>
  <w:num w:numId="8">
    <w:abstractNumId w:val="4"/>
  </w:num>
  <w:num w:numId="9">
    <w:abstractNumId w:val="13"/>
  </w:num>
  <w:num w:numId="10">
    <w:abstractNumId w:val="0"/>
  </w:num>
  <w:num w:numId="11">
    <w:abstractNumId w:val="5"/>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5F"/>
    <w:rsid w:val="00C22E5F"/>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7CEF"/>
  <w15:chartTrackingRefBased/>
  <w15:docId w15:val="{14E5F69E-9288-4484-84F6-5059BF85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2E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2E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22E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E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22E5F"/>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C22E5F"/>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C22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2E5F"/>
    <w:rPr>
      <w:color w:val="0000FF"/>
      <w:u w:val="single"/>
    </w:rPr>
  </w:style>
  <w:style w:type="character" w:styleId="a5">
    <w:name w:val="Strong"/>
    <w:basedOn w:val="a0"/>
    <w:uiPriority w:val="22"/>
    <w:qFormat/>
    <w:rsid w:val="00C22E5F"/>
    <w:rPr>
      <w:b/>
      <w:bCs/>
    </w:rPr>
  </w:style>
  <w:style w:type="character" w:styleId="a6">
    <w:name w:val="Emphasis"/>
    <w:basedOn w:val="a0"/>
    <w:uiPriority w:val="20"/>
    <w:qFormat/>
    <w:rsid w:val="00C22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24782">
      <w:bodyDiv w:val="1"/>
      <w:marLeft w:val="0"/>
      <w:marRight w:val="0"/>
      <w:marTop w:val="0"/>
      <w:marBottom w:val="0"/>
      <w:divBdr>
        <w:top w:val="none" w:sz="0" w:space="0" w:color="auto"/>
        <w:left w:val="none" w:sz="0" w:space="0" w:color="auto"/>
        <w:bottom w:val="none" w:sz="0" w:space="0" w:color="auto"/>
        <w:right w:val="none" w:sz="0" w:space="0" w:color="auto"/>
      </w:divBdr>
    </w:div>
    <w:div w:id="15784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16.09.202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8255</Words>
  <Characters>47054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2024-02-15T06:39:00Z</dcterms:created>
  <dcterms:modified xsi:type="dcterms:W3CDTF">2024-02-15T06:40:00Z</dcterms:modified>
</cp:coreProperties>
</file>