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32" w:rsidRDefault="00B24C32" w:rsidP="00B24C32">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B24C32">
        <w:rPr>
          <w:rFonts w:ascii="Arial" w:eastAsia="Times New Roman" w:hAnsi="Arial" w:cs="Arial"/>
          <w:b/>
          <w:bCs/>
          <w:color w:val="333333"/>
          <w:kern w:val="36"/>
          <w:sz w:val="24"/>
          <w:szCs w:val="24"/>
          <w:lang w:eastAsia="ru-RU"/>
        </w:rPr>
        <w:t>Уведомление о проведении аукциона на право заключения договора аренды земельного участка с местоположением: Российская Федерация, Саратовская область, Энгельсский муниципальный район Саратовской области, Новопушкинское сельское поселение, район Промышленные сооружения, земельный участок 20</w:t>
      </w:r>
    </w:p>
    <w:p w:rsidR="00B24C32" w:rsidRDefault="00B24C32" w:rsidP="00B24C32">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 земельного участка: Российская Федерация, Саратовская область, Энгельсский муниципальный район Саратовской области, Новопушкинское сельское поселение, район Промышленные сооружения, земельный участок 20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1500</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w:t>
      </w:r>
      <w:r>
        <w:rPr>
          <w:rStyle w:val="a4"/>
          <w:rFonts w:ascii="Arial" w:eastAsiaTheme="majorEastAsia" w:hAnsi="Arial" w:cs="Arial"/>
          <w:color w:val="333333"/>
          <w:sz w:val="21"/>
          <w:szCs w:val="21"/>
        </w:rPr>
        <w:t>: </w:t>
      </w:r>
      <w:r>
        <w:rPr>
          <w:rFonts w:ascii="Arial" w:hAnsi="Arial" w:cs="Arial"/>
          <w:color w:val="333333"/>
          <w:sz w:val="21"/>
          <w:szCs w:val="21"/>
        </w:rPr>
        <w:t>64:38:040401:1022</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w:t>
      </w:r>
      <w:r>
        <w:rPr>
          <w:rStyle w:val="a4"/>
          <w:rFonts w:ascii="Arial" w:eastAsiaTheme="majorEastAsia" w:hAnsi="Arial" w:cs="Arial"/>
          <w:color w:val="333333"/>
          <w:sz w:val="21"/>
          <w:szCs w:val="21"/>
        </w:rPr>
        <w:t>: </w:t>
      </w:r>
      <w:r>
        <w:rPr>
          <w:rFonts w:ascii="Arial" w:hAnsi="Arial" w:cs="Arial"/>
          <w:color w:val="333333"/>
          <w:sz w:val="21"/>
          <w:szCs w:val="21"/>
        </w:rPr>
        <w:t>«склады»</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w:t>
      </w:r>
      <w:r>
        <w:rPr>
          <w:rStyle w:val="a4"/>
          <w:rFonts w:ascii="Arial" w:eastAsiaTheme="majorEastAsia" w:hAnsi="Arial" w:cs="Arial"/>
          <w:color w:val="333333"/>
          <w:sz w:val="21"/>
          <w:szCs w:val="21"/>
        </w:rPr>
        <w:t>: «</w:t>
      </w:r>
      <w:r>
        <w:rPr>
          <w:rFonts w:ascii="Arial" w:hAnsi="Arial" w:cs="Arial"/>
          <w:color w:val="333333"/>
          <w:sz w:val="21"/>
          <w:szCs w:val="2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w:t>
      </w:r>
      <w:r>
        <w:rPr>
          <w:rFonts w:ascii="Arial" w:hAnsi="Arial" w:cs="Arial"/>
          <w:color w:val="333333"/>
          <w:sz w:val="21"/>
          <w:szCs w:val="21"/>
        </w:rPr>
        <w:br/>
        <w:t>«01» октября 2021 г. до 17 часов 30 минут по местному  «22» ноября  2021г.</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25 ноября 2021 года, 09 часов 00 минут, г. Энгельс, пл. Ленина, д.30, 1 этаж, зал заседаний.</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Российской Федерации </w:t>
      </w:r>
      <w:hyperlink r:id="rId5" w:history="1">
        <w:r>
          <w:rPr>
            <w:rStyle w:val="a5"/>
            <w:rFonts w:ascii="Arial"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администрации Энгельсского муниципального района «Наше слово – XXI век» </w:t>
      </w:r>
      <w:hyperlink r:id="rId6" w:history="1">
        <w:r>
          <w:rPr>
            <w:rStyle w:val="a5"/>
            <w:rFonts w:ascii="Arial"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5"/>
            <w:rFonts w:ascii="Arial"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B24C32" w:rsidRDefault="00B24C32" w:rsidP="00B24C32">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w:t>
      </w:r>
    </w:p>
    <w:p w:rsidR="00B24C32" w:rsidRDefault="00B24C32" w:rsidP="00B24C32">
      <w:pPr>
        <w:pStyle w:val="2"/>
        <w:shd w:val="clear" w:color="auto" w:fill="FFFFFF"/>
        <w:spacing w:before="150" w:after="150" w:line="312" w:lineRule="atLeast"/>
        <w:rPr>
          <w:rFonts w:ascii="Arial" w:hAnsi="Arial" w:cs="Arial"/>
          <w:color w:val="333333"/>
        </w:rPr>
      </w:pPr>
      <w:r>
        <w:rPr>
          <w:rFonts w:ascii="Arial" w:hAnsi="Arial" w:cs="Arial"/>
          <w:color w:val="333333"/>
        </w:rPr>
        <w:t>«УТВЕРЖДАЮ»</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Заместитель председателя, начальник управления учета земли комитета</w:t>
      </w:r>
      <w:r>
        <w:rPr>
          <w:rFonts w:ascii="Arial" w:hAnsi="Arial" w:cs="Arial"/>
          <w:color w:val="333333"/>
          <w:sz w:val="21"/>
          <w:szCs w:val="21"/>
        </w:rPr>
        <w:t> </w:t>
      </w:r>
      <w:r>
        <w:rPr>
          <w:rStyle w:val="a6"/>
          <w:rFonts w:ascii="Arial" w:hAnsi="Arial" w:cs="Arial"/>
          <w:color w:val="333333"/>
          <w:sz w:val="21"/>
          <w:szCs w:val="21"/>
        </w:rPr>
        <w:t>по земельным ресурсам администрации Энгельсского муниципального района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________________________С.А.Кубикова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«22» октября 2021 г.</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Извещение о проведении аукциона на право заключения договора аренды земельного участка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от 01.10.2021 № 011021/0873556/02 с изменениями от 22.10.2021 года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6"/>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B24C32" w:rsidRDefault="00B24C32" w:rsidP="00B24C32">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6"/>
          <w:rFonts w:ascii="Arial" w:hAnsi="Arial" w:cs="Arial"/>
          <w:color w:val="333333"/>
          <w:sz w:val="21"/>
          <w:szCs w:val="21"/>
        </w:rPr>
        <w:t>.</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«01» июня 2021 года № 2013.</w:t>
      </w:r>
    </w:p>
    <w:p w:rsidR="00B24C32" w:rsidRDefault="00B24C32" w:rsidP="00B24C32">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Дата, время и место проведения аукциона «</w:t>
      </w:r>
      <w:r>
        <w:rPr>
          <w:rFonts w:ascii="Arial" w:hAnsi="Arial" w:cs="Arial"/>
          <w:color w:val="333333"/>
          <w:sz w:val="21"/>
          <w:szCs w:val="21"/>
        </w:rPr>
        <w:t>25» ноября 2021 г. в 9 часов 00 минут по местному времени по адресу: г. Энгельс, пл. Ленина, д. 30, 1 этаж, зал заседаний.</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Порядок проведения аукциона: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первым на предыдущем шаге.</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24C32" w:rsidRDefault="00B24C32" w:rsidP="00B24C32">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Предмет аукциона</w:t>
      </w:r>
      <w:r>
        <w:rPr>
          <w:rFonts w:ascii="Arial" w:hAnsi="Arial" w:cs="Arial"/>
          <w:color w:val="333333"/>
          <w:sz w:val="21"/>
          <w:szCs w:val="21"/>
        </w:rPr>
        <w:t>:</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6"/>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87"/>
        <w:gridCol w:w="4868"/>
      </w:tblGrid>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B24C32" w:rsidRDefault="00B24C3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Российская Федерация, Саратовская область, Энгельсский муниципальный район Саратовской области, Новопушкинское сельское поселение, район Промышленные сооружения, земельный участок 20</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Площадь земельного участка (кв. м)    </w:t>
            </w:r>
          </w:p>
        </w:tc>
        <w:tc>
          <w:tcPr>
            <w:tcW w:w="0" w:type="auto"/>
            <w:shd w:val="clear" w:color="auto" w:fill="FFFFFF"/>
            <w:vAlign w:val="center"/>
            <w:hideMark/>
          </w:tcPr>
          <w:p w:rsidR="00B24C32" w:rsidRDefault="00B24C3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1500</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B24C32" w:rsidRDefault="00B24C3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64:38:040401:1022</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Вид права на земельный участок</w:t>
            </w:r>
          </w:p>
        </w:tc>
        <w:tc>
          <w:tcPr>
            <w:tcW w:w="0" w:type="auto"/>
            <w:shd w:val="clear" w:color="auto" w:fill="FFFFFF"/>
            <w:vAlign w:val="center"/>
            <w:hideMark/>
          </w:tcPr>
          <w:p w:rsidR="00B24C32" w:rsidRDefault="00B24C3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B24C32" w:rsidRDefault="00B24C3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Отсутствует</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B24C32" w:rsidRDefault="00B24C3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Склады</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B24C32" w:rsidRDefault="00B24C3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B24C32" w:rsidRDefault="00B24C3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220 000 руб.00 коп</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B24C32" w:rsidRDefault="00B24C3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6 600 руб. 00 коп.</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Срок аренды земельного участка</w:t>
            </w:r>
          </w:p>
        </w:tc>
        <w:tc>
          <w:tcPr>
            <w:tcW w:w="0" w:type="auto"/>
            <w:shd w:val="clear" w:color="auto" w:fill="FFFFFF"/>
            <w:vAlign w:val="center"/>
            <w:hideMark/>
          </w:tcPr>
          <w:p w:rsidR="00B24C32" w:rsidRDefault="00B24C3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 года 6 месяцев</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Размер задатка</w:t>
            </w:r>
          </w:p>
        </w:tc>
        <w:tc>
          <w:tcPr>
            <w:tcW w:w="0" w:type="auto"/>
            <w:shd w:val="clear" w:color="auto" w:fill="FFFFFF"/>
            <w:vAlign w:val="center"/>
            <w:hideMark/>
          </w:tcPr>
          <w:p w:rsidR="00B24C32" w:rsidRDefault="00B24C32">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220 000  руб. 00 коп</w:t>
            </w:r>
          </w:p>
        </w:tc>
      </w:tr>
    </w:tbl>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На земельном участке находится металлическая хозпостройка, а также складируются строительные материалы. Земельный участок огорожен.</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69"/>
        <w:gridCol w:w="215"/>
        <w:gridCol w:w="5271"/>
      </w:tblGrid>
      <w:tr w:rsidR="00B24C32" w:rsidTr="00B24C32">
        <w:tc>
          <w:tcPr>
            <w:tcW w:w="0" w:type="auto"/>
            <w:gridSpan w:val="3"/>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B24C32" w:rsidTr="00B24C32">
        <w:tc>
          <w:tcPr>
            <w:tcW w:w="0" w:type="auto"/>
            <w:gridSpan w:val="3"/>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ПЛОЩАДЬ ЗЕМЕЛЬНОГО УЧАСТКА</w:t>
            </w:r>
          </w:p>
        </w:tc>
      </w:tr>
      <w:tr w:rsidR="00B24C32" w:rsidTr="00B24C32">
        <w:tc>
          <w:tcPr>
            <w:tcW w:w="0" w:type="auto"/>
            <w:gridSpan w:val="2"/>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tc>
      </w:tr>
      <w:tr w:rsidR="00B24C32" w:rsidTr="00B24C32">
        <w:tc>
          <w:tcPr>
            <w:tcW w:w="0" w:type="auto"/>
            <w:gridSpan w:val="2"/>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tc>
      </w:tr>
      <w:tr w:rsidR="00B24C32" w:rsidTr="00B24C32">
        <w:tc>
          <w:tcPr>
            <w:tcW w:w="0" w:type="auto"/>
            <w:gridSpan w:val="3"/>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Для земельных участков, находящихся в муниципальной собственности или государственной собственности до ее разграничения, образуемых в целях предоставления гражданам:</w:t>
            </w:r>
          </w:p>
        </w:tc>
      </w:tr>
      <w:tr w:rsidR="00B24C32" w:rsidTr="00B24C32">
        <w:tc>
          <w:tcPr>
            <w:tcW w:w="0" w:type="auto"/>
            <w:gridSpan w:val="2"/>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строительства индивидуального гаража:</w:t>
            </w:r>
          </w:p>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 метров</w:t>
            </w:r>
          </w:p>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36 метров</w:t>
            </w:r>
          </w:p>
        </w:tc>
      </w:tr>
      <w:tr w:rsidR="00B24C32" w:rsidTr="00B24C32">
        <w:tc>
          <w:tcPr>
            <w:tcW w:w="0" w:type="auto"/>
            <w:gridSpan w:val="2"/>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строительства индивидуального хозяйственного блока:</w:t>
            </w:r>
          </w:p>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метров</w:t>
            </w:r>
          </w:p>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 метров</w:t>
            </w:r>
          </w:p>
        </w:tc>
      </w:tr>
      <w:tr w:rsidR="00B24C32" w:rsidTr="00B24C32">
        <w:tc>
          <w:tcPr>
            <w:tcW w:w="0" w:type="auto"/>
            <w:gridSpan w:val="3"/>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ПРЕДЕЛЬНЫЕ ПАРАМЕТРЫ РАЗРЕШЕННОГО СТРОИТЕЛЬСТВА, РЕКОНСТРУКЦИИ ОБЪЕКТОВ КАПИТАЛЬНОГО СТРОИТЕЛЬСТВА</w:t>
            </w:r>
          </w:p>
        </w:tc>
      </w:tr>
      <w:tr w:rsidR="00B24C32" w:rsidTr="00B24C32">
        <w:tc>
          <w:tcPr>
            <w:tcW w:w="0" w:type="auto"/>
            <w:gridSpan w:val="3"/>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Количество этажей</w:t>
            </w:r>
          </w:p>
        </w:tc>
      </w:tr>
      <w:tr w:rsidR="00B24C32" w:rsidTr="00B24C32">
        <w:tc>
          <w:tcPr>
            <w:tcW w:w="0" w:type="auto"/>
            <w:gridSpan w:val="2"/>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B24C32" w:rsidTr="00B24C32">
        <w:tc>
          <w:tcPr>
            <w:tcW w:w="0" w:type="auto"/>
            <w:gridSpan w:val="2"/>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tc>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tc>
      </w:tr>
      <w:tr w:rsidR="00B24C32" w:rsidTr="00B24C32">
        <w:tc>
          <w:tcPr>
            <w:tcW w:w="0" w:type="auto"/>
            <w:gridSpan w:val="3"/>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2"/>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B24C32" w:rsidTr="00B24C32">
        <w:tc>
          <w:tcPr>
            <w:tcW w:w="0" w:type="auto"/>
            <w:gridSpan w:val="3"/>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Минимальные отступы от границ земельных участков, не относящихся к индивидуальному жилищному строительству в целях определения мест допустимого размещения зданий, строений, сооружений , за пределами которых запрещено строительство зданий, строений, сооружений</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2"/>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B24C32" w:rsidTr="00B24C32">
        <w:tc>
          <w:tcPr>
            <w:tcW w:w="0" w:type="auto"/>
            <w:gridSpan w:val="3"/>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Процент озеленения</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10%</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2"/>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B24C32" w:rsidTr="00B24C32">
        <w:tc>
          <w:tcPr>
            <w:tcW w:w="0" w:type="auto"/>
            <w:gridSpan w:val="3"/>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Иные показатели</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0" w:type="auto"/>
            <w:gridSpan w:val="2"/>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Предельный размер санитарно-защитной зоны</w:t>
            </w:r>
          </w:p>
        </w:tc>
        <w:tc>
          <w:tcPr>
            <w:tcW w:w="0" w:type="auto"/>
            <w:gridSpan w:val="2"/>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более 100 метров.</w:t>
            </w:r>
          </w:p>
        </w:tc>
      </w:tr>
      <w:tr w:rsidR="00B24C32" w:rsidTr="00B24C32">
        <w:tc>
          <w:tcPr>
            <w:tcW w:w="0" w:type="auto"/>
            <w:shd w:val="clear" w:color="auto" w:fill="FFFFFF"/>
            <w:vAlign w:val="center"/>
            <w:hideMark/>
          </w:tcPr>
          <w:p w:rsidR="00B24C32" w:rsidRDefault="00B24C32">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B24C32" w:rsidRDefault="00B24C32">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B24C32" w:rsidRDefault="00B24C32">
            <w:pPr>
              <w:rPr>
                <w:rFonts w:ascii="Arial" w:hAnsi="Arial" w:cs="Arial"/>
                <w:color w:val="333333"/>
                <w:sz w:val="21"/>
                <w:szCs w:val="21"/>
              </w:rPr>
            </w:pPr>
            <w:r>
              <w:rPr>
                <w:rFonts w:ascii="Arial" w:hAnsi="Arial" w:cs="Arial"/>
                <w:color w:val="333333"/>
                <w:sz w:val="21"/>
                <w:szCs w:val="21"/>
              </w:rPr>
              <w:t> </w:t>
            </w:r>
          </w:p>
        </w:tc>
      </w:tr>
    </w:tbl>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b/>
          <w:bCs/>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xml:space="preserve">На основании Правил землепользования и застройки Новопушкинского муниципального образования Энгельсского муниципального района Саратовской области, Карты границ зон с особыми условиями использования территории, границ территорий объектов культурного наследия территория испрашиваемого земельного </w:t>
      </w:r>
      <w:r>
        <w:rPr>
          <w:rStyle w:val="a6"/>
          <w:rFonts w:ascii="Arial" w:hAnsi="Arial" w:cs="Arial"/>
          <w:color w:val="333333"/>
          <w:sz w:val="21"/>
          <w:szCs w:val="21"/>
        </w:rPr>
        <w:lastRenderedPageBreak/>
        <w:t>участка находится в зоне ограничения по электромагнитному излучению строительства жилых зданий, в границах территории, подверженных воздействию при чрезвычайных ситуациях на химически опасных объектах.</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 соответствии со Схемой территориального планирования Энгельсского муниципального района Саратовской области территория испрашиваемого земельного участка находится в прочих сельхозземлях, в зоне шумового воздействия воздушного транспорта, в санитарно-защитной зоне 300 метров и ближе.</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Технические условия:</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Газораспределение:</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АО «Газпром газораспределение Саратовская область» с ориентировочной нагрузкой подключения каждого объекта 4,6 тыс. м3/час имеется от газораспределительной сети ГРС «Энгельс».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69"/>
        <w:gridCol w:w="6086"/>
      </w:tblGrid>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B24C32" w:rsidRDefault="00B24C32">
            <w:pPr>
              <w:rPr>
                <w:rFonts w:ascii="Arial" w:hAnsi="Arial" w:cs="Arial"/>
                <w:color w:val="333333"/>
                <w:sz w:val="21"/>
                <w:szCs w:val="21"/>
              </w:rPr>
            </w:pPr>
            <w:r>
              <w:rPr>
                <w:rFonts w:ascii="Arial" w:hAnsi="Arial" w:cs="Arial"/>
                <w:color w:val="333333"/>
                <w:sz w:val="21"/>
                <w:szCs w:val="21"/>
              </w:rPr>
              <w:t> </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сети газопотребления.</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газоиспользующего оборудования Заявителя.</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осуществления  мероприятий  по технологическому присоединению исчисляется со дня заключения договора в соответствии с п.85 «Правилами подключения (технологического присоединения) объектов капитального строительства к сетям газораспределения» (утв. Постановлением Правительства РФ от 30.12.2013 г.</w:t>
            </w:r>
            <w:r>
              <w:rPr>
                <w:rFonts w:ascii="Arial" w:hAnsi="Arial" w:cs="Arial"/>
                <w:color w:val="333333"/>
                <w:sz w:val="21"/>
                <w:szCs w:val="21"/>
              </w:rPr>
              <w:br/>
              <w:t>№ 1314) с учетом изменений, утвержденных постановлением Правительства РФ от 30.01.2018 г. № 82.</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принимается равным сроку осуществления мероприятий по подключению (технологическому присоединению) указанному в договоре.</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Размер платы за подключение определяется в соответствии с методическими указаниями, утвержденными приказом Федеральной антимонопольной службы РФ от  16.02.2018 №1151/18 и постановлениями комитета государственного регулирования тарифов Саратовской области.</w:t>
            </w:r>
          </w:p>
        </w:tc>
      </w:tr>
    </w:tbl>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Водоснабжение:</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«Энгельс-Водоканал» имеет возможность технологического присоединения к централизованным сетям холодного водоснабжения и водоотведения: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0"/>
        <w:gridCol w:w="5675"/>
      </w:tblGrid>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Технические условия подключения (технологического присоединения) объекта капитального строительства </w:t>
            </w:r>
            <w:r>
              <w:rPr>
                <w:rFonts w:ascii="Arial" w:hAnsi="Arial" w:cs="Arial"/>
                <w:color w:val="333333"/>
                <w:sz w:val="21"/>
                <w:szCs w:val="21"/>
              </w:rPr>
              <w:lastRenderedPageBreak/>
              <w:t>к сетям инженерно-технического обеспечения, в том числе:</w:t>
            </w:r>
          </w:p>
        </w:tc>
        <w:tc>
          <w:tcPr>
            <w:tcW w:w="0" w:type="auto"/>
            <w:shd w:val="clear" w:color="auto" w:fill="FFFFFF"/>
            <w:vAlign w:val="center"/>
            <w:hideMark/>
          </w:tcPr>
          <w:p w:rsidR="00B24C32" w:rsidRDefault="00B24C32">
            <w:pPr>
              <w:rPr>
                <w:rFonts w:ascii="Arial" w:hAnsi="Arial" w:cs="Arial"/>
                <w:color w:val="333333"/>
                <w:sz w:val="21"/>
                <w:szCs w:val="21"/>
              </w:rPr>
            </w:pPr>
            <w:r>
              <w:rPr>
                <w:rFonts w:ascii="Arial" w:hAnsi="Arial" w:cs="Arial"/>
                <w:color w:val="333333"/>
                <w:sz w:val="21"/>
                <w:szCs w:val="21"/>
              </w:rPr>
              <w:lastRenderedPageBreak/>
              <w:t> </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Предельная свободная мощность существующих сетей</w:t>
            </w:r>
          </w:p>
        </w:tc>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1,56 куб.м/сутки</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Водоснабжение:</w:t>
            </w:r>
          </w:p>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Хозяйственно-бытовые нужды 1,56 куб.м./сутки</w:t>
            </w:r>
          </w:p>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Водоотведение:</w:t>
            </w:r>
          </w:p>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Хозяйственно – бытовые стоки 1,56 куб.м. / сутки</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Согласно постановлению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 срок подключения объекта составит 18 месяцев со дня заключения договора подключения (технологического присоединения) к централизованным сетям холодного водоснабжения и/или водоотведения, если другие сроки не будут предусмотрены указанным договором.</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года</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объекта определяется в договоре о подключении к централизованным сетям холодного водоснабжения и/или водоотведения и рассчитывается на основании тарифа на подключение, утвержденного постановлением Комитет государственного регулирования тарифов по Саратовской области от 29.12.2020 г. № 37/2, либо в индивидуальном порядке на основании решения органа регулирования тарифов Саратовской области.</w:t>
            </w:r>
          </w:p>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Дата окончания срока действия тарифа, установленного постановлением Комитет государственного регулирования тарифов Саратовской области от 29.12.2019 № 37/2, 31 декабря 2021. В случае утверждения тарифа в индивидуальном порядке срок действия тарифа будет определен органом регулирования тарифов Саратовской области.</w:t>
            </w:r>
          </w:p>
        </w:tc>
      </w:tr>
    </w:tbl>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Точки подключения:</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Водопроводная линия Д=225мм в районе пр-т Строителей, № 43б. Давление воды в точке подключения-1,0 кг/см2. На водопроводном вводе за первой стеной здания установить водомер.</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Точкой подключения является один из вариантов:</w:t>
      </w:r>
    </w:p>
    <w:p w:rsidR="00B24C32" w:rsidRDefault="00B24C32" w:rsidP="00B24C32">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Самотечная канализационная линия Д=225 мм в районе пр-т Строителей, №34б. отметку лотка трубы определить перед началом проектирования.</w:t>
      </w:r>
    </w:p>
    <w:p w:rsidR="00B24C32" w:rsidRDefault="00B24C32" w:rsidP="00B24C32">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Предусмотреть септик. Обращаться в ФБУЗ «Центр гигиены и эпидемиологии в Саратовской области в Энгельсском районе», пр. Строителей, 7а, каб. 412.</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данным МУП «Энгельс-Водоканал» по земельному участку проходят частные канализационные сети. Предусмотреть их вынос согласно СП 42.13330.2016 «Градостроительство. Планировка и застройка городских и сельских поселений» п. 12.35 таб. 12.5.</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Электроснабжение:</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Осуществляется в соответствии с Постановлением Правительства РФ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Теплоснабжение:</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в границах земельного участка тепловые сети, стоящие на балансе МУП «Покровск-тепло», отсутствуют.</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24C32" w:rsidRDefault="00B24C32" w:rsidP="00B24C32">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установленный в извещении о проведении аукциона срок следующие  документы:</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удостоверяющего личность заявителя (всех страниц) (для физических лиц);</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5"/>
            <w:rFonts w:ascii="Arial"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подписывается по выбору заявителя (если заявителем является физическое лицо):</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электронной подписью заявителя (представителя заявителя);</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д. 1 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«01» октября 2021 года.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«22» ноября 2021 года.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B24C32" w:rsidRDefault="00B24C32" w:rsidP="00B24C32">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Организатору торгов  – комитету по земельным ресурсам администрации Энгельсского муниципального района.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r>
        <w:rPr>
          <w:rFonts w:ascii="Arial"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извещение о проведении которого  «01» октября 2021  г.  размещено на официальном сайте Российской Федерации о проведении торгов www.torgi.gov.ru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_____________________________________________________________________________________________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район ____________________________________________, город 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Для заполнения  представителем   физического или юридического лица: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_____________________________________________________________________________________________, дата выдачи __________________, код подразделения ______________________________________________.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город (поселок) __________________________________, район______________________________________,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разрешенное использование_____________________________________________________________________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платы_________________________________. Срок аренды _____________. Размер задатка 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Банковские реквизиты для возврата задатка: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В соответствии с Федеральным законом № 152-ФЗ от 27.07.2006 «О персональных данных» подтверждаю свое согласие на обработку моих персональных данных.</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B24C32" w:rsidRDefault="00B24C32">
            <w:pPr>
              <w:rPr>
                <w:rFonts w:ascii="Arial" w:hAnsi="Arial" w:cs="Arial"/>
                <w:color w:val="333333"/>
                <w:sz w:val="21"/>
                <w:szCs w:val="21"/>
              </w:rPr>
            </w:pPr>
            <w:r>
              <w:rPr>
                <w:rFonts w:ascii="Arial" w:hAnsi="Arial" w:cs="Arial"/>
                <w:color w:val="333333"/>
                <w:sz w:val="21"/>
                <w:szCs w:val="21"/>
              </w:rPr>
              <w:t> </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B24C32" w:rsidRDefault="00B24C32">
            <w:pPr>
              <w:rPr>
                <w:rFonts w:ascii="Arial" w:hAnsi="Arial" w:cs="Arial"/>
                <w:color w:val="333333"/>
                <w:sz w:val="21"/>
                <w:szCs w:val="21"/>
              </w:rPr>
            </w:pPr>
            <w:r>
              <w:rPr>
                <w:rFonts w:ascii="Arial" w:hAnsi="Arial" w:cs="Arial"/>
                <w:color w:val="333333"/>
                <w:sz w:val="21"/>
                <w:szCs w:val="21"/>
              </w:rPr>
              <w:t> </w:t>
            </w:r>
          </w:p>
        </w:tc>
      </w:tr>
      <w:tr w:rsidR="00B24C32" w:rsidTr="00B24C32">
        <w:tc>
          <w:tcPr>
            <w:tcW w:w="0" w:type="auto"/>
            <w:shd w:val="clear" w:color="auto" w:fill="FFFFFF"/>
            <w:vAlign w:val="center"/>
            <w:hideMark/>
          </w:tcPr>
          <w:p w:rsidR="00B24C32" w:rsidRDefault="00B24C3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B24C32" w:rsidRDefault="00B24C32">
            <w:pPr>
              <w:rPr>
                <w:rFonts w:ascii="Arial" w:hAnsi="Arial" w:cs="Arial"/>
                <w:color w:val="333333"/>
                <w:sz w:val="21"/>
                <w:szCs w:val="21"/>
              </w:rPr>
            </w:pPr>
            <w:r>
              <w:rPr>
                <w:rFonts w:ascii="Arial" w:hAnsi="Arial" w:cs="Arial"/>
                <w:color w:val="333333"/>
                <w:sz w:val="21"/>
                <w:szCs w:val="21"/>
              </w:rPr>
              <w:t> </w:t>
            </w:r>
          </w:p>
        </w:tc>
      </w:tr>
    </w:tbl>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B24C32" w:rsidRDefault="00B24C32" w:rsidP="00B24C32">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6"/>
          <w:rFonts w:ascii="Arial" w:hAnsi="Arial" w:cs="Arial"/>
          <w:color w:val="333333"/>
          <w:sz w:val="21"/>
          <w:szCs w:val="21"/>
        </w:rPr>
        <w:t>Лоту № 1</w:t>
      </w:r>
      <w:r>
        <w:rPr>
          <w:rFonts w:ascii="Arial" w:hAnsi="Arial" w:cs="Arial"/>
          <w:color w:val="333333"/>
          <w:sz w:val="21"/>
          <w:szCs w:val="21"/>
        </w:rPr>
        <w:t> составляет </w:t>
      </w:r>
      <w:r>
        <w:rPr>
          <w:rStyle w:val="a6"/>
          <w:rFonts w:ascii="Arial" w:hAnsi="Arial" w:cs="Arial"/>
          <w:color w:val="333333"/>
          <w:sz w:val="21"/>
          <w:szCs w:val="21"/>
        </w:rPr>
        <w:t> 220 000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по следующим реквизитам:</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ЭМР</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03232643636500006000</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Банк получателя: Управление Федерального казначейства по Саратовской области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016311121</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Номер банковского счета УФК, входящего в состав ЕКС:40102810845370000052</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w:t>
      </w:r>
      <w:r>
        <w:rPr>
          <w:rFonts w:ascii="Arial" w:hAnsi="Arial" w:cs="Arial"/>
          <w:color w:val="333333"/>
          <w:sz w:val="21"/>
          <w:szCs w:val="21"/>
        </w:rPr>
        <w:lastRenderedPageBreak/>
        <w:t>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B24C32" w:rsidRDefault="00B24C32" w:rsidP="00B24C32">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 кадастровым номером_________________________________________________________________________,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4"/>
          <w:rFonts w:ascii="Arial" w:eastAsiaTheme="majorEastAsia"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или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B24C32" w:rsidRDefault="00B24C32" w:rsidP="00B24C32">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Арендная плата и порядок ее внесения</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B24C32" w:rsidRDefault="00B24C32" w:rsidP="00B24C32">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3.2. Арендодатель обязан:</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w:t>
      </w:r>
      <w:r>
        <w:rPr>
          <w:rFonts w:ascii="Arial" w:hAnsi="Arial" w:cs="Arial"/>
          <w:color w:val="333333"/>
          <w:sz w:val="21"/>
          <w:szCs w:val="21"/>
        </w:rPr>
        <w:lastRenderedPageBreak/>
        <w:t>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B24C32" w:rsidRDefault="00B24C32" w:rsidP="00B24C32">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B24C32" w:rsidRDefault="00B24C32" w:rsidP="00B24C32">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B24C32" w:rsidRDefault="00B24C32" w:rsidP="00B24C32">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или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B24C32" w:rsidRDefault="00B24C32" w:rsidP="00B24C32">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w:t>
      </w:r>
      <w:r>
        <w:rPr>
          <w:rFonts w:ascii="Arial" w:hAnsi="Arial" w:cs="Arial"/>
          <w:color w:val="333333"/>
          <w:sz w:val="21"/>
          <w:szCs w:val="21"/>
        </w:rPr>
        <w:lastRenderedPageBreak/>
        <w:t>претензий, извещений, уведомлений и др.) считается исполненной при наличии доказательств ее отправления по адресу, указанному в договоре.</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B24C32" w:rsidRDefault="00B24C32" w:rsidP="00B24C32">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Подписи сторон:</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М.П.                                                                                                                      М.П.  ______________________________________________________________________</w:t>
      </w:r>
    </w:p>
    <w:p w:rsidR="00B24C32" w:rsidRDefault="00B24C32" w:rsidP="00B24C32">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B24C32" w:rsidRDefault="00B24C32" w:rsidP="00B24C32">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B24C32" w:rsidRDefault="00B24C32" w:rsidP="00B24C32">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B24C32" w:rsidRDefault="00B24C32" w:rsidP="00B24C32">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B24C32" w:rsidRDefault="00B24C32" w:rsidP="00B24C32">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B24C32" w:rsidRDefault="00B24C32" w:rsidP="00B24C32">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B24C32" w:rsidRDefault="00B24C32" w:rsidP="00B24C32">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B24C32" w:rsidRDefault="00B24C32" w:rsidP="00B24C32">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B24C32" w:rsidRDefault="00B24C32" w:rsidP="00B24C32">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Акт приема-передачи земельного участка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B24C32" w:rsidRDefault="00B24C32" w:rsidP="00B24C32">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lastRenderedPageBreak/>
        <w:drawing>
          <wp:inline distT="0" distB="0" distL="0" distR="0">
            <wp:extent cx="1905000" cy="923925"/>
            <wp:effectExtent l="0" t="0" r="0" b="9525"/>
            <wp:docPr id="1" name="Рисунок 1" descr=" сооружения">
              <a:hlinkClick xmlns:a="http://schemas.openxmlformats.org/drawingml/2006/main" r:id="rId9" tooltip="&quot;Уведомление о проведении аукциона на право заключения договора аренды земельного участка с местоположением: Российская Федерация, Саратовская область, Энгельсский муниципальный район Саратовской области, Новопушкинское сельское поселение, район Промышленные сооружения, земельный участок 2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сооружения">
                      <a:hlinkClick r:id="rId9" tooltip="&quot;Уведомление о проведении аукциона на право заключения договора аренды земельного участка с местоположением: Российская Федерация, Саратовская область, Энгельсский муниципальный район Саратовской области, Новопушкинское сельское поселение, район Промышленные сооружения, земельный участок 20&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923925"/>
                    </a:xfrm>
                    <a:prstGeom prst="rect">
                      <a:avLst/>
                    </a:prstGeom>
                    <a:noFill/>
                    <a:ln>
                      <a:noFill/>
                    </a:ln>
                  </pic:spPr>
                </pic:pic>
              </a:graphicData>
            </a:graphic>
          </wp:inline>
        </w:drawing>
      </w:r>
    </w:p>
    <w:p w:rsidR="00B24C32" w:rsidRPr="00B24C32" w:rsidRDefault="00B24C32" w:rsidP="00B24C32">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1C152F" w:rsidRDefault="001C152F"/>
    <w:sectPr w:rsidR="001C1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3A1"/>
    <w:multiLevelType w:val="multilevel"/>
    <w:tmpl w:val="07CA0B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D5A4D"/>
    <w:multiLevelType w:val="multilevel"/>
    <w:tmpl w:val="0B681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33B1B"/>
    <w:multiLevelType w:val="multilevel"/>
    <w:tmpl w:val="92A8D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140CE7"/>
    <w:multiLevelType w:val="multilevel"/>
    <w:tmpl w:val="7D9644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741D1"/>
    <w:multiLevelType w:val="multilevel"/>
    <w:tmpl w:val="44D2A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7D3804"/>
    <w:multiLevelType w:val="multilevel"/>
    <w:tmpl w:val="416C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C14E63"/>
    <w:multiLevelType w:val="multilevel"/>
    <w:tmpl w:val="CE7ABC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25F5D"/>
    <w:multiLevelType w:val="multilevel"/>
    <w:tmpl w:val="550882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844B00"/>
    <w:multiLevelType w:val="multilevel"/>
    <w:tmpl w:val="20E0B0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C969A0"/>
    <w:multiLevelType w:val="multilevel"/>
    <w:tmpl w:val="D8A868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AB6B0F"/>
    <w:multiLevelType w:val="multilevel"/>
    <w:tmpl w:val="C2747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852F7F"/>
    <w:multiLevelType w:val="multilevel"/>
    <w:tmpl w:val="A8F2DD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06403F"/>
    <w:multiLevelType w:val="multilevel"/>
    <w:tmpl w:val="EC704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4C3083"/>
    <w:multiLevelType w:val="multilevel"/>
    <w:tmpl w:val="9C504A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7A09CA"/>
    <w:multiLevelType w:val="multilevel"/>
    <w:tmpl w:val="959600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10"/>
  </w:num>
  <w:num w:numId="4">
    <w:abstractNumId w:val="2"/>
  </w:num>
  <w:num w:numId="5">
    <w:abstractNumId w:val="6"/>
  </w:num>
  <w:num w:numId="6">
    <w:abstractNumId w:val="9"/>
  </w:num>
  <w:num w:numId="7">
    <w:abstractNumId w:val="12"/>
  </w:num>
  <w:num w:numId="8">
    <w:abstractNumId w:val="4"/>
  </w:num>
  <w:num w:numId="9">
    <w:abstractNumId w:val="3"/>
  </w:num>
  <w:num w:numId="10">
    <w:abstractNumId w:val="13"/>
  </w:num>
  <w:num w:numId="11">
    <w:abstractNumId w:val="0"/>
  </w:num>
  <w:num w:numId="12">
    <w:abstractNumId w:val="11"/>
  </w:num>
  <w:num w:numId="13">
    <w:abstractNumId w:val="8"/>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32"/>
    <w:rsid w:val="001C152F"/>
    <w:rsid w:val="00B24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9BD7"/>
  <w15:chartTrackingRefBased/>
  <w15:docId w15:val="{327F7FC9-DB6B-4450-8B15-83B2FB21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24C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24C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B24C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C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24C32"/>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B24C32"/>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B24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24C32"/>
    <w:rPr>
      <w:i/>
      <w:iCs/>
    </w:rPr>
  </w:style>
  <w:style w:type="character" w:styleId="a5">
    <w:name w:val="Hyperlink"/>
    <w:basedOn w:val="a0"/>
    <w:uiPriority w:val="99"/>
    <w:semiHidden/>
    <w:unhideWhenUsed/>
    <w:rsid w:val="00B24C32"/>
    <w:rPr>
      <w:color w:val="0000FF"/>
      <w:u w:val="single"/>
    </w:rPr>
  </w:style>
  <w:style w:type="character" w:styleId="a6">
    <w:name w:val="Strong"/>
    <w:basedOn w:val="a0"/>
    <w:uiPriority w:val="22"/>
    <w:qFormat/>
    <w:rsid w:val="00B24C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605485">
      <w:bodyDiv w:val="1"/>
      <w:marLeft w:val="0"/>
      <w:marRight w:val="0"/>
      <w:marTop w:val="0"/>
      <w:marBottom w:val="0"/>
      <w:divBdr>
        <w:top w:val="none" w:sz="0" w:space="0" w:color="auto"/>
        <w:left w:val="none" w:sz="0" w:space="0" w:color="auto"/>
        <w:bottom w:val="none" w:sz="0" w:space="0" w:color="auto"/>
        <w:right w:val="none" w:sz="0" w:space="0" w:color="auto"/>
      </w:divBdr>
    </w:div>
    <w:div w:id="18384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ngels-city.ru/images/stories/mo/novopushkinsk_mo/docs/_%D1%81%D0%BE%D0%BE%D1%80%D1%83%D0%B6%D0%B5%D0%BD%D0%B8%D1%8F.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8122</Words>
  <Characters>46297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2024-02-15T05:58:00Z</dcterms:created>
  <dcterms:modified xsi:type="dcterms:W3CDTF">2024-02-15T05:59:00Z</dcterms:modified>
</cp:coreProperties>
</file>