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F1B" w:rsidRDefault="00446F1B" w:rsidP="00446F1B">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446F1B">
        <w:rPr>
          <w:rFonts w:ascii="Arial" w:eastAsia="Times New Roman" w:hAnsi="Arial" w:cs="Arial"/>
          <w:b/>
          <w:bCs/>
          <w:color w:val="333333"/>
          <w:kern w:val="36"/>
          <w:sz w:val="24"/>
          <w:szCs w:val="24"/>
          <w:lang w:eastAsia="ru-RU"/>
        </w:rPr>
        <w:t>О проведении аукциона на право заключения договора аренды земельного участка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имени Карла Маркса, улица Дачная, земельный участок 15</w:t>
      </w:r>
    </w:p>
    <w:p w:rsidR="00446F1B" w:rsidRDefault="00446F1B" w:rsidP="00446F1B">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имени Карла Маркса, улица Дачная, земельный участок 15</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1550</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64:38:140113:214</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«для ведения личного подсобного хозяйства»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населенных пунктов»</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«02» октября 2020г. до 17 часов 30 минут по местному «05» ноября 2020г.</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09 ноября 2020 года,</w:t>
      </w:r>
      <w:r>
        <w:rPr>
          <w:rFonts w:ascii="Arial" w:hAnsi="Arial" w:cs="Arial"/>
          <w:color w:val="333333"/>
          <w:sz w:val="21"/>
          <w:szCs w:val="21"/>
        </w:rPr>
        <w:br/>
        <w:t>09 часов 00 минут, г. Энгельс, пл. Ленина, д.30, 1 этаж, зал заседаний.</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4"/>
            <w:rFonts w:ascii="Arial" w:eastAsiaTheme="majorEastAsia"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4"/>
            <w:rFonts w:ascii="Arial" w:eastAsiaTheme="majorEastAsia"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eastAsiaTheme="majorEastAsia"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46F1B" w:rsidRDefault="00446F1B" w:rsidP="00446F1B">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«УТВЕРЖДАЮ»</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_____________________С.А. Кубикова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«02» октября  2020 г.</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на право заключения договора аренды земельного участка.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446F1B" w:rsidRDefault="00446F1B" w:rsidP="00446F1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«11» марта 2020 года  № 853</w:t>
      </w:r>
    </w:p>
    <w:p w:rsidR="00446F1B" w:rsidRDefault="00446F1B" w:rsidP="00446F1B">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Дата, время и место проведения аукциона </w:t>
      </w:r>
      <w:r>
        <w:rPr>
          <w:rFonts w:ascii="Arial" w:hAnsi="Arial" w:cs="Arial"/>
          <w:color w:val="333333"/>
          <w:sz w:val="21"/>
          <w:szCs w:val="21"/>
        </w:rPr>
        <w:t>«09» ноября 2020 г. в 09 часов 00 минут по местному времени по адресу: г. Энгельс, пл. Ленина, д. 30, 1 этаж, зал заседаний.</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20"/>
        <w:gridCol w:w="5035"/>
      </w:tblGrid>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имени Карла Маркса, улица Дачная, земельный участок 15</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446F1B" w:rsidRDefault="00446F1B">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1550</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446F1B" w:rsidRDefault="00446F1B">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64:38:140113:214</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Вид права на земельный участок</w:t>
            </w:r>
          </w:p>
        </w:tc>
        <w:tc>
          <w:tcPr>
            <w:tcW w:w="0" w:type="auto"/>
            <w:shd w:val="clear" w:color="auto" w:fill="FFFFFF"/>
            <w:vAlign w:val="center"/>
            <w:hideMark/>
          </w:tcPr>
          <w:p w:rsidR="00446F1B" w:rsidRDefault="00446F1B">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446F1B" w:rsidRDefault="00446F1B">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отсутствуют</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Разрешенное использование земельного участка</w:t>
            </w:r>
          </w:p>
        </w:tc>
        <w:tc>
          <w:tcPr>
            <w:tcW w:w="0" w:type="auto"/>
            <w:shd w:val="clear" w:color="auto" w:fill="FFFFFF"/>
            <w:vAlign w:val="center"/>
            <w:hideMark/>
          </w:tcPr>
          <w:p w:rsidR="00446F1B" w:rsidRDefault="00446F1B">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Для ведения личного подсобного хозяйства</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446F1B" w:rsidRDefault="00446F1B">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446F1B" w:rsidRDefault="00446F1B">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39000  руб.00 коп</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446F1B" w:rsidRDefault="00446F1B">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1170 руб.00 коп</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Срок аренды земельного участка</w:t>
            </w:r>
          </w:p>
        </w:tc>
        <w:tc>
          <w:tcPr>
            <w:tcW w:w="0" w:type="auto"/>
            <w:shd w:val="clear" w:color="auto" w:fill="FFFFFF"/>
            <w:vAlign w:val="center"/>
            <w:hideMark/>
          </w:tcPr>
          <w:p w:rsidR="00446F1B" w:rsidRDefault="00446F1B">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 лет</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446F1B" w:rsidRDefault="00446F1B">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39000 руб.00 коп</w:t>
            </w:r>
          </w:p>
        </w:tc>
      </w:tr>
    </w:tbl>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земельном участке расположены две бетонных опоры линии электропередачи.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07"/>
        <w:gridCol w:w="3548"/>
      </w:tblGrid>
      <w:tr w:rsidR="00446F1B" w:rsidTr="00446F1B">
        <w:tc>
          <w:tcPr>
            <w:tcW w:w="0" w:type="auto"/>
            <w:gridSpan w:val="2"/>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446F1B" w:rsidTr="00446F1B">
        <w:tc>
          <w:tcPr>
            <w:tcW w:w="0" w:type="auto"/>
            <w:gridSpan w:val="2"/>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Количество этажей</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446F1B" w:rsidTr="00446F1B">
        <w:tc>
          <w:tcPr>
            <w:tcW w:w="0" w:type="auto"/>
            <w:gridSpan w:val="2"/>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Высота зданий, сооружений</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bl>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Электроснабжение: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имеет возможность электроснабжения объекта капитального строительства «для ведения личного подсобного хозяйства», расположение которого планируется на земельном участке по адресу: Новопушкинское муниципальное образование Энгельсского муниципального района Саратовской области, поселок имени Карла Маркса, улица Дачная, земельный участок 15, кадастровый номер земельного участка 64:38:140113:214 с максимальной разрешенной мощностью 15 кВт возможно осуществить от ВЛ-0,4 кВ Л-1 от  КТП-39 по ВЛ-10кВ Л-201 РП-2 ПС 110кВ «ПТФ»</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Технические условия подключения (технологического присоединения) </w:t>
            </w:r>
            <w:r>
              <w:rPr>
                <w:rFonts w:ascii="Arial" w:hAnsi="Arial" w:cs="Arial"/>
                <w:color w:val="333333"/>
                <w:sz w:val="21"/>
                <w:szCs w:val="21"/>
              </w:rPr>
              <w:lastRenderedPageBreak/>
              <w:t>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446F1B" w:rsidRDefault="00446F1B">
            <w:pPr>
              <w:rPr>
                <w:rFonts w:ascii="Arial" w:hAnsi="Arial" w:cs="Arial"/>
                <w:color w:val="333333"/>
                <w:sz w:val="21"/>
                <w:szCs w:val="21"/>
              </w:rPr>
            </w:pPr>
            <w:r>
              <w:rPr>
                <w:rFonts w:ascii="Arial" w:hAnsi="Arial" w:cs="Arial"/>
                <w:color w:val="333333"/>
                <w:sz w:val="21"/>
                <w:szCs w:val="21"/>
              </w:rPr>
              <w:lastRenderedPageBreak/>
              <w:t> </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Предельная свободная мощность существующих сетей</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57/1 от 27.12.2018 г.</w:t>
            </w:r>
          </w:p>
        </w:tc>
      </w:tr>
    </w:tbl>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На земельном участке находится ВЛ-0.4 кВ Л-1 от КТП-39 по ВЛ-10 кВ Л-201 РП-2 ПС 110 кВ «ПТФ»</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Водоснабжение и теплоснабжение: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выдача технических условий подключения (технологическое присоединение) объекта, расположение которого планируется на земельном участке по адресу: Новопушкинское муниципальное образование Энгельсского муниципального района Саратовской области, поселок имени Карла Маркса, улица Дачная, земельный участок 15, кадастровый номер земельного участка 64:38:140113:214 к сетям инженерно-технического обеспечения указаны в таблице. Инженерные сети стоящие на балансе МУП «Покровск-тепло» в границах вышеуказанного участка отсутствуют.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75"/>
        <w:gridCol w:w="1180"/>
      </w:tblGrid>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446F1B" w:rsidRDefault="00446F1B">
            <w:pPr>
              <w:rPr>
                <w:rFonts w:ascii="Arial" w:hAnsi="Arial" w:cs="Arial"/>
                <w:color w:val="333333"/>
                <w:sz w:val="21"/>
                <w:szCs w:val="21"/>
              </w:rPr>
            </w:pPr>
            <w:r>
              <w:rPr>
                <w:rFonts w:ascii="Arial" w:hAnsi="Arial" w:cs="Arial"/>
                <w:color w:val="333333"/>
                <w:sz w:val="21"/>
                <w:szCs w:val="21"/>
              </w:rPr>
              <w:t> </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0,96 м3/сут</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0,96 м3/сут</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отсутствует</w:t>
            </w:r>
          </w:p>
        </w:tc>
      </w:tr>
    </w:tbl>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Газораспределение: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«Покровсктрансгаз» имеет техническую возможность газификации от существующего надземного стального газопровода низкого  давления в п. им. Карла Маркса, ул. Дачная диаметром 76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9"/>
        <w:gridCol w:w="4156"/>
      </w:tblGrid>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30-ти рабочих дней со дня подписания договора подряда Заказчиком</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Ростелеком:</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территории земельного участка местоположением: Новопушкинское муниципальное образование Энгельсского муниципального района Саратовской области, поселок имени Карла Маркса, улица Дачная, земельный участок 15, кадастровый номер земельного участка 64:38:140113:214 расположены коммуникации ПАО «Ростелеком» (кабельная линия связи, кабель ТПП).</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Охранная зона кабельной линии связи ПАО «Ростелеком» проходит на расстоянии 2 м от оси кабеля в обе стороны.</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связи с вышеизложенным при проведении земляных и строительных работ в непосредственной близости от коммуникаций ПАО «Ростелеком», необходим вызов представителей МЦТЭТ г. Энгельс, ул. Волоха, 9, тел. (845-3) 55-69-55.</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eastAsiaTheme="majorEastAsia"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«02» октября 2020 года.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«05» ноября 2020 года.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Заместителю председателя, начальнику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_____________________С.А.Кубиковой</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«02» октября 2020  г.  размещено на официальном сайте Российской Федерации о проведении торгов www.torgi.gov.ru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лице 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город (поселок) __________________________________, район______________________________________,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Размер ежегодной арендной платы_________________________________. Срок аренды _____________. Размер задатка 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446F1B" w:rsidRDefault="00446F1B">
            <w:pPr>
              <w:rPr>
                <w:rFonts w:ascii="Arial" w:hAnsi="Arial" w:cs="Arial"/>
                <w:color w:val="333333"/>
                <w:sz w:val="21"/>
                <w:szCs w:val="21"/>
              </w:rPr>
            </w:pPr>
            <w:r>
              <w:rPr>
                <w:rFonts w:ascii="Arial" w:hAnsi="Arial" w:cs="Arial"/>
                <w:color w:val="333333"/>
                <w:sz w:val="21"/>
                <w:szCs w:val="21"/>
              </w:rPr>
              <w:t> </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446F1B" w:rsidRDefault="00446F1B">
            <w:pPr>
              <w:rPr>
                <w:rFonts w:ascii="Arial" w:hAnsi="Arial" w:cs="Arial"/>
                <w:color w:val="333333"/>
                <w:sz w:val="21"/>
                <w:szCs w:val="21"/>
              </w:rPr>
            </w:pPr>
            <w:r>
              <w:rPr>
                <w:rFonts w:ascii="Arial" w:hAnsi="Arial" w:cs="Arial"/>
                <w:color w:val="333333"/>
                <w:sz w:val="21"/>
                <w:szCs w:val="21"/>
              </w:rPr>
              <w:t> </w:t>
            </w:r>
          </w:p>
        </w:tc>
      </w:tr>
      <w:tr w:rsidR="00446F1B" w:rsidTr="00446F1B">
        <w:tc>
          <w:tcPr>
            <w:tcW w:w="0" w:type="auto"/>
            <w:shd w:val="clear" w:color="auto" w:fill="FFFFFF"/>
            <w:vAlign w:val="center"/>
            <w:hideMark/>
          </w:tcPr>
          <w:p w:rsidR="00446F1B" w:rsidRDefault="00446F1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446F1B" w:rsidRDefault="00446F1B">
            <w:pPr>
              <w:rPr>
                <w:rFonts w:ascii="Arial" w:hAnsi="Arial" w:cs="Arial"/>
                <w:color w:val="333333"/>
                <w:sz w:val="21"/>
                <w:szCs w:val="21"/>
              </w:rPr>
            </w:pPr>
            <w:r>
              <w:rPr>
                <w:rFonts w:ascii="Arial" w:hAnsi="Arial" w:cs="Arial"/>
                <w:color w:val="333333"/>
                <w:sz w:val="21"/>
                <w:szCs w:val="21"/>
              </w:rPr>
              <w:t> </w:t>
            </w:r>
          </w:p>
        </w:tc>
      </w:tr>
    </w:tbl>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  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446F1B" w:rsidRDefault="00446F1B" w:rsidP="00446F1B">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 39 000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446F1B" w:rsidRDefault="00446F1B" w:rsidP="00446F1B">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(далее - Земельный участок) в соответствии со схемой расположения земельного участка или земельных участков на кадастровом плане территории.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6"/>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446F1B" w:rsidRDefault="00446F1B" w:rsidP="00446F1B">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446F1B" w:rsidRDefault="00446F1B" w:rsidP="00446F1B">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выполнять иные требования, предусмотренные Земельным кодексом РФ, федеральными законами.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446F1B" w:rsidRDefault="00446F1B" w:rsidP="00446F1B">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446F1B" w:rsidRDefault="00446F1B" w:rsidP="00446F1B">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446F1B" w:rsidRDefault="00446F1B" w:rsidP="00446F1B">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6.3. Договор может быть расторгнут до истечения срока его действия:</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446F1B" w:rsidRDefault="00446F1B" w:rsidP="00446F1B">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446F1B" w:rsidRDefault="00446F1B" w:rsidP="00446F1B">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Арендодатель: Комитет по земельным ресурсам администрации Энгельсского муниципального района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446F1B" w:rsidRDefault="00446F1B" w:rsidP="00446F1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446F1B" w:rsidRDefault="00446F1B" w:rsidP="00446F1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446F1B" w:rsidRDefault="00446F1B" w:rsidP="00446F1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446F1B" w:rsidRDefault="00446F1B" w:rsidP="00446F1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446F1B" w:rsidRDefault="00446F1B" w:rsidP="00446F1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446F1B" w:rsidRDefault="00446F1B" w:rsidP="00446F1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446F1B" w:rsidRDefault="00446F1B" w:rsidP="00446F1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446F1B" w:rsidRDefault="00446F1B" w:rsidP="00446F1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446F1B" w:rsidRDefault="00446F1B" w:rsidP="00446F1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*(9) предусматривается в договоре, заключаемом с физическим лицом, индивидуальным предпринимателем</w:t>
      </w:r>
    </w:p>
    <w:p w:rsidR="00446F1B" w:rsidRDefault="00446F1B" w:rsidP="00446F1B">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990600" cy="1428750"/>
            <wp:effectExtent l="0" t="0" r="0" b="0"/>
            <wp:docPr id="1" name="Рисунок 1" descr=" 111">
              <a:hlinkClick xmlns:a="http://schemas.openxmlformats.org/drawingml/2006/main" r:id="rId9" tooltip="&quot;О проведении аукциона на право заключения договора аренды земельного участка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имени Карла Маркса, улица Дачная, земельный участок 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111">
                      <a:hlinkClick r:id="rId9" tooltip="&quot;О проведении аукциона на право заключения договора аренды земельного участка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имени Карла Маркса, улица Дачная, земельный участок 15&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428750"/>
                    </a:xfrm>
                    <a:prstGeom prst="rect">
                      <a:avLst/>
                    </a:prstGeom>
                    <a:noFill/>
                    <a:ln>
                      <a:noFill/>
                    </a:ln>
                  </pic:spPr>
                </pic:pic>
              </a:graphicData>
            </a:graphic>
          </wp:inline>
        </w:drawing>
      </w:r>
    </w:p>
    <w:p w:rsidR="00446F1B" w:rsidRPr="00446F1B" w:rsidRDefault="00446F1B" w:rsidP="00446F1B">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2C371C" w:rsidRDefault="002C371C"/>
    <w:sectPr w:rsidR="002C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0C48"/>
    <w:multiLevelType w:val="multilevel"/>
    <w:tmpl w:val="9196B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25BC3"/>
    <w:multiLevelType w:val="multilevel"/>
    <w:tmpl w:val="1848D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766B8"/>
    <w:multiLevelType w:val="multilevel"/>
    <w:tmpl w:val="EB3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038CF"/>
    <w:multiLevelType w:val="multilevel"/>
    <w:tmpl w:val="4F201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FA166E"/>
    <w:multiLevelType w:val="multilevel"/>
    <w:tmpl w:val="4BFA2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10887"/>
    <w:multiLevelType w:val="multilevel"/>
    <w:tmpl w:val="B1662A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6D6751"/>
    <w:multiLevelType w:val="multilevel"/>
    <w:tmpl w:val="BD5CE3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CF14D8"/>
    <w:multiLevelType w:val="multilevel"/>
    <w:tmpl w:val="ACB4FF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EC3C61"/>
    <w:multiLevelType w:val="multilevel"/>
    <w:tmpl w:val="29B8F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04032"/>
    <w:multiLevelType w:val="multilevel"/>
    <w:tmpl w:val="F0242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AD096C"/>
    <w:multiLevelType w:val="multilevel"/>
    <w:tmpl w:val="6D84CB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306DCB"/>
    <w:multiLevelType w:val="multilevel"/>
    <w:tmpl w:val="BB5A0D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7311B3"/>
    <w:multiLevelType w:val="multilevel"/>
    <w:tmpl w:val="739221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B76690"/>
    <w:multiLevelType w:val="multilevel"/>
    <w:tmpl w:val="F1E2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2"/>
  </w:num>
  <w:num w:numId="4">
    <w:abstractNumId w:val="3"/>
  </w:num>
  <w:num w:numId="5">
    <w:abstractNumId w:val="7"/>
  </w:num>
  <w:num w:numId="6">
    <w:abstractNumId w:val="13"/>
  </w:num>
  <w:num w:numId="7">
    <w:abstractNumId w:val="1"/>
  </w:num>
  <w:num w:numId="8">
    <w:abstractNumId w:val="0"/>
  </w:num>
  <w:num w:numId="9">
    <w:abstractNumId w:val="8"/>
  </w:num>
  <w:num w:numId="10">
    <w:abstractNumId w:val="4"/>
  </w:num>
  <w:num w:numId="11">
    <w:abstractNumId w:val="10"/>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1B"/>
    <w:rsid w:val="002C371C"/>
    <w:rsid w:val="0044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D047"/>
  <w15:chartTrackingRefBased/>
  <w15:docId w15:val="{A0A2D08A-CC0F-4ABB-AEB3-44DE6CD8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46F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46F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446F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6F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46F1B"/>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446F1B"/>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446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6F1B"/>
    <w:rPr>
      <w:color w:val="0000FF"/>
      <w:u w:val="single"/>
    </w:rPr>
  </w:style>
  <w:style w:type="character" w:styleId="a5">
    <w:name w:val="Strong"/>
    <w:basedOn w:val="a0"/>
    <w:uiPriority w:val="22"/>
    <w:qFormat/>
    <w:rsid w:val="00446F1B"/>
    <w:rPr>
      <w:b/>
      <w:bCs/>
    </w:rPr>
  </w:style>
  <w:style w:type="character" w:styleId="a6">
    <w:name w:val="Emphasis"/>
    <w:basedOn w:val="a0"/>
    <w:uiPriority w:val="20"/>
    <w:qFormat/>
    <w:rsid w:val="00446F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34668">
      <w:bodyDiv w:val="1"/>
      <w:marLeft w:val="0"/>
      <w:marRight w:val="0"/>
      <w:marTop w:val="0"/>
      <w:marBottom w:val="0"/>
      <w:divBdr>
        <w:top w:val="none" w:sz="0" w:space="0" w:color="auto"/>
        <w:left w:val="none" w:sz="0" w:space="0" w:color="auto"/>
        <w:bottom w:val="none" w:sz="0" w:space="0" w:color="auto"/>
        <w:right w:val="none" w:sz="0" w:space="0" w:color="auto"/>
      </w:divBdr>
    </w:div>
    <w:div w:id="21265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11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7402</Words>
  <Characters>42196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2024-02-15T04:51:00Z</dcterms:created>
  <dcterms:modified xsi:type="dcterms:W3CDTF">2024-02-15T04:52:00Z</dcterms:modified>
</cp:coreProperties>
</file>