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F06" w:rsidRDefault="00AC5F06" w:rsidP="00AC5F06">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AC5F06">
        <w:rPr>
          <w:rFonts w:ascii="Arial" w:eastAsia="Times New Roman" w:hAnsi="Arial" w:cs="Arial"/>
          <w:b/>
          <w:bCs/>
          <w:color w:val="333333"/>
          <w:kern w:val="36"/>
          <w:sz w:val="24"/>
          <w:szCs w:val="24"/>
          <w:lang w:eastAsia="ru-RU"/>
        </w:rPr>
        <w:t>Извещение о проведении аукциона по продаже земельного участка</w:t>
      </w:r>
    </w:p>
    <w:p w:rsidR="00AC5F06" w:rsidRDefault="00AC5F06" w:rsidP="00AC5F06">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4"/>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AC5F06" w:rsidRDefault="00AC5F06" w:rsidP="00AC5F06">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4"/>
          <w:rFonts w:ascii="Arial" w:hAnsi="Arial" w:cs="Arial"/>
          <w:color w:val="333333"/>
          <w:sz w:val="21"/>
          <w:szCs w:val="21"/>
        </w:rPr>
        <w:t>.</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«24» июля 2020 года № 2400.</w:t>
      </w:r>
    </w:p>
    <w:p w:rsidR="00AC5F06" w:rsidRDefault="00AC5F06" w:rsidP="00AC5F06">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Дата, время и место проведения аукциона </w:t>
      </w:r>
      <w:r>
        <w:rPr>
          <w:rFonts w:ascii="Arial" w:hAnsi="Arial" w:cs="Arial"/>
          <w:color w:val="333333"/>
          <w:sz w:val="21"/>
          <w:szCs w:val="21"/>
        </w:rPr>
        <w:t>«16» сентября 2022 г. в 09 часов 00 минут по местному времени по адресу: г. Энгельс, пл. Ленина, д. 30, 2 этаж, зал заседаний.</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Порядок проведения аукциона: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выкупной стоимости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выкупной стоимости за земельный участок, и каждого очередного размера выкупной стоимости за земельный участок, в случае, если готовы заключить договор купли-продажи на земельный участок в соответствии с этим размером выкупной стоимости. После объявления очередного размера выкупной стоимости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выкупной стоимости в соответствии с «шагом аукциона».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этот размер выкупной стоимости за земельный участок 3 раза. Если после троекратного объявления очередного размера выкупной стоимости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земельного участка, называет размер выкупной стоимости проданного лота и номер таблички победителя аукциона.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Предмет аукциона</w:t>
      </w:r>
      <w:r>
        <w:rPr>
          <w:rFonts w:ascii="Arial" w:hAnsi="Arial" w:cs="Arial"/>
          <w:color w:val="333333"/>
          <w:sz w:val="21"/>
          <w:szCs w:val="21"/>
        </w:rPr>
        <w:t>:</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04"/>
        <w:gridCol w:w="5051"/>
      </w:tblGrid>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улица Вишневая, земельный участок 19</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Площадь земельного участка (кв. м)    </w:t>
            </w:r>
          </w:p>
        </w:tc>
        <w:tc>
          <w:tcPr>
            <w:tcW w:w="0" w:type="auto"/>
            <w:shd w:val="clear" w:color="auto" w:fill="FFFFFF"/>
            <w:vAlign w:val="center"/>
            <w:hideMark/>
          </w:tcPr>
          <w:p w:rsidR="00AC5F06" w:rsidRDefault="00AC5F06">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1500</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AC5F06" w:rsidRDefault="00AC5F06">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64:38:040101:563</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Ограничение прав на земельный участок</w:t>
            </w:r>
          </w:p>
        </w:tc>
        <w:tc>
          <w:tcPr>
            <w:tcW w:w="0" w:type="auto"/>
            <w:shd w:val="clear" w:color="auto" w:fill="FFFFFF"/>
            <w:vAlign w:val="center"/>
            <w:hideMark/>
          </w:tcPr>
          <w:p w:rsidR="00AC5F06" w:rsidRDefault="00AC5F06">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отсутствуют</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AC5F06" w:rsidRDefault="00AC5F06">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для ведения личного подсобного хозяйства</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AC5F06" w:rsidRDefault="00AC5F06">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Земли населенных пунктов</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AC5F06" w:rsidRDefault="00AC5F06">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353 000 руб.00 коп</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10 590 руб. 00 коп</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Размер задатка</w:t>
            </w:r>
          </w:p>
        </w:tc>
        <w:tc>
          <w:tcPr>
            <w:tcW w:w="0" w:type="auto"/>
            <w:shd w:val="clear" w:color="auto" w:fill="FFFFFF"/>
            <w:vAlign w:val="center"/>
            <w:hideMark/>
          </w:tcPr>
          <w:p w:rsidR="00AC5F06" w:rsidRDefault="00AC5F06">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353 000 руб.00 коп</w:t>
            </w:r>
          </w:p>
        </w:tc>
      </w:tr>
    </w:tbl>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территориальных зон земельный участок расположен в территориальной зоне жилой застройки первого типа (Ж-1), которая выделена для обеспечения правовых условий формирования жилых районов из отдельно стоящих жилых домов усадебного типа с возможностью ведения личного подсобного хозяйства а также с минимально разрешенных услуг местного значения.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Одним из основных видов разрешенного использования указанной территориальной зоны является вид разрешенного использования – для ведения личного подсобного хозяйства (приусадебный земельный участок):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76"/>
        <w:gridCol w:w="2768"/>
        <w:gridCol w:w="2429"/>
        <w:gridCol w:w="2082"/>
      </w:tblGrid>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Наименование основного вида разрешенного использования</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Описание основного вида разрешенного использования</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Вспомогательные виды разрешенного использования (установленные к основному)</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Код (числовое обозначение) основного вида разрешенного использования</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ведения личного подсобного хозяйства (приусадебный земельный участок)</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Размещение жилого дома, указанного в описании вида разрешенного использования с кодом 2.1;</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Производство сельскохозяйственной продукции;</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Размещение гаража и иных вспомогательных сооружений;</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Содержание сельскохозяйственных животных.</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хозяйственно-бытовые строения и сооружения;</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постройки для занятия индивидуальной трудовой деятельностью;</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постройки для содержания и разведения домашнего скота и птицы;</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сады, огороды, теплицы, оранжереи индивидуального пользования;</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бани, сауны, бассейны индивидуального пользования;</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отдельно стоящие беседки и навесы;</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летние кухни;</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сараи;</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хозблоки;</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погреба;</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зеленые насаждения;</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площадки для сбора мусора</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2.2</w:t>
            </w:r>
          </w:p>
        </w:tc>
      </w:tr>
    </w:tbl>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10"/>
        <w:gridCol w:w="98"/>
        <w:gridCol w:w="182"/>
        <w:gridCol w:w="4165"/>
      </w:tblGrid>
      <w:tr w:rsidR="00AC5F06" w:rsidTr="00AC5F06">
        <w:tc>
          <w:tcPr>
            <w:tcW w:w="0" w:type="auto"/>
            <w:gridSpan w:val="4"/>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ПРЕДЕЛЬНЫЕ РАЗМЕРЫ ЗЕМЕЛЬНЫХ УЧАСТКОВ, В ТОМ ЧИСЛЕ ИХ ПЛОЩАДЬ</w:t>
            </w:r>
          </w:p>
        </w:tc>
      </w:tr>
      <w:tr w:rsidR="00AC5F06" w:rsidTr="00AC5F06">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магазинов торговой площадью не более 50 кв.м:</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1200 кв.м</w:t>
            </w:r>
          </w:p>
        </w:tc>
      </w:tr>
      <w:tr w:rsidR="00AC5F06" w:rsidTr="00AC5F06">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объектов коммунального и бытового обслуживания:</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1200 кв.м</w:t>
            </w:r>
          </w:p>
        </w:tc>
      </w:tr>
      <w:tr w:rsidR="00AC5F06" w:rsidTr="00AC5F06">
        <w:tc>
          <w:tcPr>
            <w:tcW w:w="0" w:type="auto"/>
            <w:gridSpan w:val="4"/>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Для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w:t>
            </w:r>
          </w:p>
        </w:tc>
      </w:tr>
      <w:tr w:rsidR="00AC5F06" w:rsidTr="00AC5F06">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индивидуального жилищного строительства:</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300 кв.м</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1500кв.м</w:t>
            </w:r>
          </w:p>
        </w:tc>
      </w:tr>
      <w:tr w:rsidR="00AC5F06" w:rsidTr="00AC5F06">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ведения личного подсобного хозяйства в границах населенного пункта:</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600 кв.м</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2500 кв.м</w:t>
            </w:r>
          </w:p>
        </w:tc>
      </w:tr>
      <w:tr w:rsidR="00AC5F06" w:rsidTr="00AC5F06">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гаража:</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кв.м</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36 кв.м</w:t>
            </w:r>
          </w:p>
        </w:tc>
      </w:tr>
      <w:tr w:rsidR="00AC5F06" w:rsidTr="00AC5F06">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хоз. блока:</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Максимальный</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12 кв.м</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кв.м</w:t>
            </w:r>
          </w:p>
        </w:tc>
      </w:tr>
      <w:tr w:rsidR="00AC5F06" w:rsidTr="00AC5F06">
        <w:tc>
          <w:tcPr>
            <w:tcW w:w="0" w:type="auto"/>
            <w:gridSpan w:val="4"/>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Для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 имеющим трех и более детей, признанными многодетными:</w:t>
            </w:r>
          </w:p>
        </w:tc>
      </w:tr>
      <w:tr w:rsidR="00AC5F06" w:rsidTr="00AC5F06">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индивидуального жилищного строительства:</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600 кв.м</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2000кв.м</w:t>
            </w:r>
          </w:p>
        </w:tc>
      </w:tr>
      <w:tr w:rsidR="00AC5F06" w:rsidTr="00AC5F06">
        <w:tc>
          <w:tcPr>
            <w:tcW w:w="0" w:type="auto"/>
            <w:gridSpan w:val="4"/>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AC5F06" w:rsidTr="00AC5F06">
        <w:tc>
          <w:tcPr>
            <w:tcW w:w="0" w:type="auto"/>
            <w:gridSpan w:val="4"/>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Количество этажей</w:t>
            </w:r>
          </w:p>
        </w:tc>
      </w:tr>
      <w:tr w:rsidR="00AC5F06" w:rsidTr="00AC5F06">
        <w:tc>
          <w:tcPr>
            <w:tcW w:w="0" w:type="auto"/>
            <w:gridSpan w:val="2"/>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gridSpan w:val="2"/>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AC5F06" w:rsidTr="00AC5F06">
        <w:tc>
          <w:tcPr>
            <w:tcW w:w="0" w:type="auto"/>
            <w:gridSpan w:val="2"/>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gridSpan w:val="2"/>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AC5F06" w:rsidTr="00AC5F06">
        <w:tc>
          <w:tcPr>
            <w:tcW w:w="0" w:type="auto"/>
            <w:gridSpan w:val="4"/>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Высота зданий, сооружений</w:t>
            </w:r>
          </w:p>
        </w:tc>
      </w:tr>
      <w:tr w:rsidR="00AC5F06" w:rsidTr="00AC5F06">
        <w:tc>
          <w:tcPr>
            <w:tcW w:w="0" w:type="auto"/>
            <w:gridSpan w:val="2"/>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gridSpan w:val="2"/>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AC5F06" w:rsidTr="00AC5F06">
        <w:tc>
          <w:tcPr>
            <w:tcW w:w="0" w:type="auto"/>
            <w:gridSpan w:val="2"/>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gridSpan w:val="2"/>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AC5F06" w:rsidTr="00AC5F06">
        <w:tc>
          <w:tcPr>
            <w:tcW w:w="0" w:type="auto"/>
            <w:gridSpan w:val="4"/>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AC5F06" w:rsidTr="00AC5F06">
        <w:tc>
          <w:tcPr>
            <w:tcW w:w="0" w:type="auto"/>
            <w:gridSpan w:val="2"/>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AC5F06" w:rsidTr="00AC5F06">
        <w:tc>
          <w:tcPr>
            <w:tcW w:w="0" w:type="auto"/>
            <w:gridSpan w:val="2"/>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AC5F06" w:rsidTr="00AC5F06">
        <w:tc>
          <w:tcPr>
            <w:tcW w:w="0" w:type="auto"/>
            <w:gridSpan w:val="4"/>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не подлежит установлению, определяется проектной документацией в соответствии с техническими регламентами, </w:t>
            </w:r>
            <w:r>
              <w:rPr>
                <w:rFonts w:ascii="Arial" w:hAnsi="Arial" w:cs="Arial"/>
                <w:color w:val="333333"/>
                <w:sz w:val="21"/>
                <w:szCs w:val="21"/>
              </w:rPr>
              <w:lastRenderedPageBreak/>
              <w:t>региональными и местными нормативами градостроительного проектирования</w:t>
            </w:r>
          </w:p>
        </w:tc>
      </w:tr>
      <w:tr w:rsidR="00AC5F06" w:rsidTr="00AC5F06">
        <w:tc>
          <w:tcPr>
            <w:tcW w:w="0" w:type="auto"/>
            <w:gridSpan w:val="4"/>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Иные показатели</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между соседними участками</w:t>
            </w:r>
          </w:p>
        </w:tc>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Конструктивное решение ограждения между соседними участками</w:t>
            </w:r>
          </w:p>
        </w:tc>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межи, разделяющей соседние участки</w:t>
            </w:r>
          </w:p>
        </w:tc>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Торговая площадь магазинов</w:t>
            </w:r>
          </w:p>
        </w:tc>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50 кв.метров</w:t>
            </w:r>
          </w:p>
        </w:tc>
      </w:tr>
      <w:tr w:rsidR="00AC5F06" w:rsidTr="00AC5F06">
        <w:tc>
          <w:tcPr>
            <w:tcW w:w="0" w:type="auto"/>
            <w:gridSpan w:val="4"/>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ОСУЩЕСТВЛЕНИЕ ДЕЯТЕЛЬНОСТИ ПО КОМПЛЕКСНОМУ И УСТОЙЧИВОМУ РАЗВИТИЮ ТЕРРИТОРИИ</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 допустимый уровень обеспеченности территории объектами коммунальной, транспортной, социальной инфраструктур</w:t>
            </w:r>
          </w:p>
        </w:tc>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 допустимый уровень территориальной доступности объектов коммунальной, транспортной, социальной инфраструктур для населения</w:t>
            </w:r>
          </w:p>
        </w:tc>
        <w:tc>
          <w:tcPr>
            <w:tcW w:w="0" w:type="auto"/>
            <w:gridSpan w:val="3"/>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AC5F06" w:rsidTr="00AC5F06">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r>
    </w:tbl>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b/>
          <w:bCs/>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 соответствии с Генеральным планом Новопушкинского муниципального образования Энгельсского муниципального района Саратовской области, Картой границ населенных пунктов, Картой функциональных зон испрашиваемый земельный участок находится в функциональной зоне индивидуальной жилой застройки (до 3 эт.), которая выделена для размещения преимущественно индивидуальных жилых домов, в том числе с приусадебными участками, малоэтажных жилых домов (блокированных, секционных и коттеджного типа), а также сопутствующих им объектов социальной инфраструктуры и коммунально-бытового обслуживания.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Согласно Генеральному плану Новопушкинского муниципального образования Энгельсского муниципального района Саратовской области, Карте планируемого размещения объектов местного значения на территории земельного участка объекты местного значения не размещаются.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зон с особыми условиями использования территории, границ территорий объектов культурного наследия на территории земельного участка зоны с особыми условиями использования территории отсутствуют, а объекты культурного наследия не размещаются.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Технические условия: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Электроснабжение:</w:t>
      </w:r>
    </w:p>
    <w:p w:rsidR="00AC5F06" w:rsidRDefault="00AC5F06" w:rsidP="00AC5F06">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t>Осуществляется в соответствии с Постановлением Правительства РФ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Водоснабжение и теплоснабжение:</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Энгельсского муниципального района Саратовской области»: в пос. Новопушкинское по ул. Вишневая проложен водопровод в соответствии с проектом «Реконструкция систем водоснабжения пос. Новопушкинское Энгельсского района Саратовской области». Заказчик и производитель работ – Управление капитального строительства Энгельсского муниципального района Саратовской области. В настоящее время данный водопровод не передан в хозяйственное ведение МУП «Покровск-тепло Энгельсского муниципального района Саратовской области».</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Вопрос выдачи технических условий подключения (технологического присоединения) будет рассмотрен по факту передачи на обслуживание МУП «Покровск-тепло» данного водопровода.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09"/>
        <w:gridCol w:w="546"/>
      </w:tblGrid>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bl>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Газораспределение:</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ООО «Покровсктрансгаз»:</w:t>
      </w:r>
      <w:r>
        <w:rPr>
          <w:rFonts w:ascii="Arial" w:hAnsi="Arial" w:cs="Arial"/>
          <w:color w:val="333333"/>
          <w:sz w:val="21"/>
          <w:szCs w:val="21"/>
        </w:rPr>
        <w:t> Предварительная техническая возможность подключения объекта капитального строительства, размещение которого планируется на земельном участке, имеется от существующего подземного стального газопровода высокого давления в поселке Новопушкинское, улица Изумрудная Энгельсского района Саратовской области, диаметром 219 мм.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3367"/>
      </w:tblGrid>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30-ти рабочих дней со дня подписания договора подряда заказчиком</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ПАО «Ростелеком»:</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районе земельного участка с местоположением: пос. Новопушкинское, ул. Вишневая, з/у 19, с кадастровым номером 64:38:040101:563, коммуникации, обслуживаемые ПАО «Ростелеком» отсутствуют.</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подключения объекта капитального строительства к сетям ПАО «Ростелеком» требуется прокладка ВОЛС 1000м. Техническая возможность подключения указана в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75"/>
        <w:gridCol w:w="2080"/>
      </w:tblGrid>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ПАО «Ростелеком», в том числе:</w:t>
            </w:r>
          </w:p>
        </w:tc>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в течении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(техническом присоединении)</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месяца</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зависимости от вида и параметров услуг</w:t>
            </w:r>
          </w:p>
        </w:tc>
      </w:tr>
    </w:tbl>
    <w:p w:rsidR="00AC5F06" w:rsidRDefault="00AC5F06" w:rsidP="00AC5F06">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(копии всех страниц) (для физических лиц);</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Pr>
            <w:rStyle w:val="a6"/>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«09» августа 2022 года.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«13» сентября 2022 года.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 заявки на участие в аукционе по продаже земельного участка: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аукциона – комитет по земельным ресурсам администрации Энгельсского муниципального района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«09» августа 2022 г. размещено на официальном сайте Российской Федерации о проведении торгов www.torgi.gov.ru</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____________, № 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____________________________________________________.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Для заполнения представителем   физического или юридического лица: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документа с указанием реквизитов: приказ о назначении, доверенность и т.д.)</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выдан (кем) 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 дата выдачи __________________, код подразделения ___________________________________________________.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земельного</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проведения аукциона)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участка со следующими характеристиками:</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____________________ кв.м., кадастровый номер 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разрешенное использование_____________________________________________________________________, категория земель 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Ограничение прав на земельный участок________________________________________________________________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начальной выкупной стоимости______________ ____. Размер задатка 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купли-продажи на земельный участок, претензий к продавцу не имею.</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выкупной стоимости земельного участка, но при уклонении от заключения договора купли-продажи земельного участка, внесенный задаток не возвращается. Сведения о победителе аукциона, уклонившемся от заключения договора купли-продажи земельного участка, включаются в реестр недобросовестных участников аукциона.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Банковские реквизиты для возврата задатка: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18"/>
        <w:gridCol w:w="2637"/>
      </w:tblGrid>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посредством личного обращения</w:t>
            </w:r>
          </w:p>
        </w:tc>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r>
    </w:tbl>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отчество/наименование заявителя)                                             (подпись заявителя/представителя заявителя)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час.____ мин.____ «____» ___________________ 202 г.</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AC5F06" w:rsidRDefault="00AC5F06" w:rsidP="00AC5F06">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4"/>
          <w:rFonts w:ascii="Arial" w:hAnsi="Arial" w:cs="Arial"/>
          <w:color w:val="333333"/>
          <w:sz w:val="21"/>
          <w:szCs w:val="21"/>
        </w:rPr>
        <w:t>Лоту № 1</w:t>
      </w:r>
      <w:r>
        <w:rPr>
          <w:rFonts w:ascii="Arial" w:hAnsi="Arial" w:cs="Arial"/>
          <w:color w:val="333333"/>
          <w:sz w:val="21"/>
          <w:szCs w:val="21"/>
        </w:rPr>
        <w:t> составляет </w:t>
      </w:r>
      <w:r>
        <w:rPr>
          <w:rStyle w:val="a4"/>
          <w:rFonts w:ascii="Arial" w:hAnsi="Arial" w:cs="Arial"/>
          <w:color w:val="333333"/>
          <w:sz w:val="21"/>
          <w:szCs w:val="21"/>
        </w:rPr>
        <w:t>353 000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по следующим реквизитам:</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ЭМР</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Управление Федерального казначейства по Саратовской области</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купли-продажи земельного участка, засчитываются в счет выкупной стоимости. Задатки, внесенные этими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w:t>
      </w:r>
      <w:r>
        <w:rPr>
          <w:rFonts w:ascii="Arial" w:hAnsi="Arial" w:cs="Arial"/>
          <w:color w:val="333333"/>
          <w:sz w:val="21"/>
          <w:szCs w:val="21"/>
        </w:rPr>
        <w:lastRenderedPageBreak/>
        <w:t>отказе в проведении аукциона извещает участников аукциона об отказе в проведении аукциона и возвращает его участникам внесенные задатки.</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r>
        <w:rPr>
          <w:rFonts w:ascii="Arial" w:hAnsi="Arial" w:cs="Arial"/>
          <w:color w:val="333333"/>
          <w:sz w:val="21"/>
          <w:szCs w:val="21"/>
        </w:rPr>
        <w:t>Приложение 1</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Энгельсского муниципального района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Договор № __________</w:t>
      </w:r>
    </w:p>
    <w:p w:rsidR="00AC5F06" w:rsidRDefault="00AC5F06" w:rsidP="00AC5F06">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купли-продажи (купчая) земельного участка,</w:t>
      </w:r>
    </w:p>
    <w:p w:rsidR="00AC5F06" w:rsidRDefault="00AC5F06" w:rsidP="00AC5F06">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заключаемого по результатам аукциона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____ » __________ 20_ года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в лице председателя ______________________________, действующего на основании Положения о комитете, именуемый в дальнейшем «Продавец», и _________________________________________________________________________________,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 покупателя)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 » _________ _______ года рождения, зарегистрированн(ый/ая) по адресу: _________________________________________________________________________________, паспорт серия _______ № ________, выдан ___________________________________________________________________________</w:t>
      </w:r>
      <w:r>
        <w:rPr>
          <w:rFonts w:ascii="Arial" w:hAnsi="Arial" w:cs="Arial"/>
          <w:color w:val="333333"/>
          <w:sz w:val="16"/>
          <w:szCs w:val="16"/>
          <w:vertAlign w:val="subscript"/>
        </w:rPr>
        <w:t>г.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и когда выдан)</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именуем(ый\ая) в дальнейшем «Покупатель», на основании протокола о результатах аукциона по продаже земельного участка от «____» ________ 20____ г. заключили настоящий договор о нижеследующем:</w:t>
      </w:r>
    </w:p>
    <w:p w:rsidR="00AC5F06" w:rsidRDefault="00AC5F06" w:rsidP="00AC5F06">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ПРЕДМЕТ ДОГОВОРА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Продавец по результатам аукциона продал, а Покупатель купил земельный участок площадью ______ кв.м., из земель _______________________________________________________________________________,                                                                                                                                             (категория земель) с кадастровым номером____________________________, разрешенным использованием __________________________________________________________________________________, местоположением   (адрес): _________________________________________________________.</w:t>
      </w:r>
    </w:p>
    <w:p w:rsidR="00AC5F06" w:rsidRDefault="00AC5F06" w:rsidP="00AC5F06">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ПЛАТА ПО ДОГОВОРУ</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 Цена продажи земельного участка составляет _______ руб. __ коп.                                                                 </w:t>
      </w:r>
      <w:r>
        <w:rPr>
          <w:rFonts w:ascii="Arial" w:hAnsi="Arial" w:cs="Arial"/>
          <w:color w:val="333333"/>
          <w:sz w:val="16"/>
          <w:szCs w:val="16"/>
          <w:vertAlign w:val="subscript"/>
        </w:rPr>
        <w:t>(определена в соответствии с пунктом 1 статьи 39.4 Земельного кодекса РФ).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Покупатель оплачивает цену участка, установленную пунктом 2.1 договора в течение 30 календарных дней с момента заключения настоящего договора в УФК по Саратовской области (Комитет по земельным ресурсам администрации ЭМР) на расчетный счет 40101810300000010010, БИК 046311001, в отделение Саратов г. Саратов, ИНН 6449031750, КПП 644901001, КБК __________________ , ОКТМО 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Задаток Покупателя в размере _________ (рублей) внесенный им в качестве лица, признанного победителем аукциона, либо лица, с которым договор купли-продажи земельного участка заключается в соответствии с </w:t>
      </w:r>
      <w:hyperlink r:id="rId6" w:history="1">
        <w:r>
          <w:rPr>
            <w:rStyle w:val="a6"/>
            <w:rFonts w:ascii="Arial" w:hAnsi="Arial" w:cs="Arial"/>
            <w:color w:val="0088CC"/>
            <w:sz w:val="21"/>
            <w:szCs w:val="21"/>
          </w:rPr>
          <w:t>пунктом 13</w:t>
        </w:r>
      </w:hyperlink>
      <w:r>
        <w:rPr>
          <w:rFonts w:ascii="Arial" w:hAnsi="Arial" w:cs="Arial"/>
          <w:color w:val="333333"/>
          <w:sz w:val="21"/>
          <w:szCs w:val="21"/>
        </w:rPr>
        <w:t>, </w:t>
      </w:r>
      <w:hyperlink r:id="rId7" w:history="1">
        <w:r>
          <w:rPr>
            <w:rStyle w:val="a6"/>
            <w:rFonts w:ascii="Arial" w:hAnsi="Arial" w:cs="Arial"/>
            <w:color w:val="0088CC"/>
            <w:sz w:val="21"/>
            <w:szCs w:val="21"/>
          </w:rPr>
          <w:t>14</w:t>
        </w:r>
      </w:hyperlink>
      <w:r>
        <w:rPr>
          <w:rFonts w:ascii="Arial" w:hAnsi="Arial" w:cs="Arial"/>
          <w:color w:val="333333"/>
          <w:sz w:val="21"/>
          <w:szCs w:val="21"/>
        </w:rPr>
        <w:t> или </w:t>
      </w:r>
      <w:hyperlink r:id="rId8" w:history="1">
        <w:r>
          <w:rPr>
            <w:rStyle w:val="a6"/>
            <w:rFonts w:ascii="Arial" w:hAnsi="Arial" w:cs="Arial"/>
            <w:color w:val="0088CC"/>
            <w:sz w:val="21"/>
            <w:szCs w:val="21"/>
          </w:rPr>
          <w:t>20</w:t>
        </w:r>
      </w:hyperlink>
      <w:r>
        <w:rPr>
          <w:rFonts w:ascii="Arial" w:hAnsi="Arial" w:cs="Arial"/>
          <w:color w:val="333333"/>
          <w:sz w:val="21"/>
          <w:szCs w:val="21"/>
        </w:rPr>
        <w:t> статьи 39.12 Земельного кодекса Российской Федерации, засчитываются в оплату приобретаемого земельного участка.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Полная оплата цены продажи земельного участка должна быть произведена до регистрации права собственности Покупателя на земельный участок.</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Оплата считается произведенной после поступления платежа по реквизитам, предусмотренным в пункте 2.2. настоящего договора.</w:t>
      </w:r>
    </w:p>
    <w:p w:rsidR="00AC5F06" w:rsidRDefault="00AC5F06" w:rsidP="00AC5F06">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ОБРЕМЕНЕНИЯ (ОГРАНИЧЕНИЯ) ЗЕМЕЛЬНОГО УЧАСТКА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3.1. Часть земельного участка приобретенного в собственность Покупателем по настоящему договору, обременена правами других лиц на площади _____________________ в виде____________________в пользу__________________________________________________ и на площади ___________________ имеет ограничения пользования в виде____________________в пользу 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ОБЯЗАТЕЛЬСТВА СТОРОН</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4.1. Продавец продал, а Покупатель купил по настоящему договору земельный участок, свободный от любых (кроме изложенных в разделе 3 настоящего договора) имущественных прав и претензий третьих лиц, о которых в момент заключения договора Продавец или Покупатель не могли не знать.</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4.2. Ответственность и права сторон, не предусмотренные в настоящем договоре, определяются в соответствии с законодательством РФ.</w:t>
      </w:r>
    </w:p>
    <w:p w:rsidR="00AC5F06" w:rsidRDefault="00AC5F06" w:rsidP="00AC5F06">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ЗАКЛЮЧИТЕЛЬНЫЕ ПОЛОЖЕНИЯ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5.1. Договор вступает в силу с момента подписания сторонами. Право собственности у Покупателя возникает с момента государственной регистрации в органе, осуществляющем функции по государственной регистрации прав на недвижимое имущество и сделок с ним.</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5.2. После подписания договора купли - продажи (купчей) земельного участка, заключаемого по результатам аукциона (далее договор), оплаты выкупной стоимости земельного участка и предоставления Покупателем подписанного экземпляра Продавцу, сторонами осуществляется передача земельного участка путем подписания акта приема-передачи, являющегося неотъемлемой частью настоящего договора (Приложение 1)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5.3. Настоящий договор составлен в 3 экземплярах. Один экземпляр хранится у Продавца, два экземпляра передаются Покупателю для регистрации права собственности на земельный участок.</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ЮРИДИЧЕСКИЕ АДРЕСА СТОРОН:</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ПРОДАВЕЦ: 413100, Саратовская область, город Энгельс, ул. Театральная 1а.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ПОКУПАТЕЛЬ: ____________________________________________________________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ПОДПИСИ СТОРОН: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81"/>
        <w:gridCol w:w="89"/>
        <w:gridCol w:w="3885"/>
      </w:tblGrid>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Продавец:</w:t>
            </w:r>
          </w:p>
        </w:tc>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Покупатель:</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 муниципального района, в лице председателя комитета</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 / _________________________/</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(подпись)                                                               (Фамилия имя отчество)</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     20____ г.</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м.п.            </w:t>
            </w:r>
          </w:p>
        </w:tc>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(Фамилия имя отчество)</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_____________________________________________________</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___________________/</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(подпись)</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     20____ г.</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tc>
      </w:tr>
    </w:tbl>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 2 к договору</w:t>
      </w:r>
      <w:r>
        <w:rPr>
          <w:rFonts w:ascii="Arial" w:hAnsi="Arial" w:cs="Arial"/>
          <w:color w:val="333333"/>
          <w:sz w:val="21"/>
          <w:szCs w:val="21"/>
        </w:rPr>
        <w:br/>
        <w:t>№ 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купли – продажи (купчей)</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заключаемого</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аукциона</w:t>
      </w:r>
    </w:p>
    <w:p w:rsidR="00AC5F06" w:rsidRDefault="00AC5F06" w:rsidP="00AC5F06">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АКТ</w:t>
      </w:r>
    </w:p>
    <w:p w:rsidR="00AC5F06" w:rsidRDefault="00AC5F06" w:rsidP="00AC5F06">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ПРИЕМА - ПЕРЕДАЧИ</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земельного участка</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местоположением (адрес): _______________________________________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 __________ 20___ г.</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соответствии с договором купли-продажи (купчая) земельного участка, заключаемого по результатам аукциона от «____» _________ 20 __ года № _____ , заключенным между комитетом по земельным ресурсам администрации Энгельсского муниципального района и _________________________________, составлен настоящий акт.</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 покупателя)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передает, а ____________________________________,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 покупателя)</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принимает земельный участок площадью ______ кв.м., из земель 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(категория земель)</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 _____________________________, разрешенным использованием ____________________, местоположением   (адрес): __________________________.</w:t>
      </w:r>
    </w:p>
    <w:p w:rsidR="00AC5F06" w:rsidRDefault="00AC5F06" w:rsidP="00AC5F0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ПОДПИСИ СТОРОН: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81"/>
        <w:gridCol w:w="89"/>
        <w:gridCol w:w="3885"/>
      </w:tblGrid>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Сдал:</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Принял:</w:t>
            </w:r>
          </w:p>
          <w:p w:rsidR="00AC5F06" w:rsidRDefault="00AC5F0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 муниципального района, в лице председателя комитета</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___________________________                             / _________________________/</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(подпись)                                                       (Фамилия имя отчество)</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(Фамилия имя отчество)</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____________________________________________</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 ___________________/</w:t>
            </w:r>
          </w:p>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(подпись)                              </w:t>
            </w:r>
          </w:p>
        </w:tc>
      </w:tr>
      <w:tr w:rsidR="00AC5F06" w:rsidTr="00AC5F06">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«___»__________     20____ г.</w:t>
            </w:r>
          </w:p>
        </w:tc>
        <w:tc>
          <w:tcPr>
            <w:tcW w:w="0" w:type="auto"/>
            <w:shd w:val="clear" w:color="auto" w:fill="FFFFFF"/>
            <w:vAlign w:val="center"/>
            <w:hideMark/>
          </w:tcPr>
          <w:p w:rsidR="00AC5F06" w:rsidRDefault="00AC5F06">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AC5F06" w:rsidRDefault="00AC5F0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 ___________   20___ г.</w:t>
            </w:r>
          </w:p>
        </w:tc>
      </w:tr>
    </w:tbl>
    <w:p w:rsidR="00AC5F06" w:rsidRPr="00AC5F06" w:rsidRDefault="00AC5F06" w:rsidP="00AC5F06">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CE4A8E" w:rsidRDefault="00CE4A8E"/>
    <w:sectPr w:rsidR="00CE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4A4"/>
    <w:multiLevelType w:val="multilevel"/>
    <w:tmpl w:val="5C267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43FF7"/>
    <w:multiLevelType w:val="multilevel"/>
    <w:tmpl w:val="710C62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4054B"/>
    <w:multiLevelType w:val="multilevel"/>
    <w:tmpl w:val="77CE75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02FA5"/>
    <w:multiLevelType w:val="multilevel"/>
    <w:tmpl w:val="1940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B44766"/>
    <w:multiLevelType w:val="multilevel"/>
    <w:tmpl w:val="91C0E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7F21AB"/>
    <w:multiLevelType w:val="multilevel"/>
    <w:tmpl w:val="8C3A18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1306B3"/>
    <w:multiLevelType w:val="multilevel"/>
    <w:tmpl w:val="68EE06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AC3FA0"/>
    <w:multiLevelType w:val="multilevel"/>
    <w:tmpl w:val="3F80A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E06E26"/>
    <w:multiLevelType w:val="multilevel"/>
    <w:tmpl w:val="0166E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154EF1"/>
    <w:multiLevelType w:val="multilevel"/>
    <w:tmpl w:val="9522C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8"/>
  </w:num>
  <w:num w:numId="4">
    <w:abstractNumId w:val="0"/>
  </w:num>
  <w:num w:numId="5">
    <w:abstractNumId w:val="2"/>
  </w:num>
  <w:num w:numId="6">
    <w:abstractNumId w:val="3"/>
  </w:num>
  <w:num w:numId="7">
    <w:abstractNumId w:val="1"/>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06"/>
    <w:rsid w:val="00AC5F06"/>
    <w:rsid w:val="00CE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B851"/>
  <w15:chartTrackingRefBased/>
  <w15:docId w15:val="{BB6E2E28-137B-4A91-ACD5-0BB36D32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C5F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AC5F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F0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AC5F06"/>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AC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5F06"/>
    <w:rPr>
      <w:b/>
      <w:bCs/>
    </w:rPr>
  </w:style>
  <w:style w:type="character" w:styleId="a5">
    <w:name w:val="Emphasis"/>
    <w:basedOn w:val="a0"/>
    <w:uiPriority w:val="20"/>
    <w:qFormat/>
    <w:rsid w:val="00AC5F06"/>
    <w:rPr>
      <w:i/>
      <w:iCs/>
    </w:rPr>
  </w:style>
  <w:style w:type="character" w:styleId="a6">
    <w:name w:val="Hyperlink"/>
    <w:basedOn w:val="a0"/>
    <w:uiPriority w:val="99"/>
    <w:semiHidden/>
    <w:unhideWhenUsed/>
    <w:rsid w:val="00AC5F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28094">
      <w:bodyDiv w:val="1"/>
      <w:marLeft w:val="0"/>
      <w:marRight w:val="0"/>
      <w:marTop w:val="0"/>
      <w:marBottom w:val="0"/>
      <w:divBdr>
        <w:top w:val="none" w:sz="0" w:space="0" w:color="auto"/>
        <w:left w:val="none" w:sz="0" w:space="0" w:color="auto"/>
        <w:bottom w:val="none" w:sz="0" w:space="0" w:color="auto"/>
        <w:right w:val="none" w:sz="0" w:space="0" w:color="auto"/>
      </w:divBdr>
    </w:div>
    <w:div w:id="8823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9950F3D741012F96B97D64F82EF83B563C2B3CEDCBB330C4B3EB0CA3465574007AFDE6FE1F4F69412A9E1730EE7A80AA20445128tDJ3F" TargetMode="External"/><Relationship Id="rId3" Type="http://schemas.openxmlformats.org/officeDocument/2006/relationships/settings" Target="settings.xml"/><Relationship Id="rId7" Type="http://schemas.openxmlformats.org/officeDocument/2006/relationships/hyperlink" Target="consultantplus://offline/ref=9D9950F3D741012F96B97D64F82EF83B563C2B3CEDCBB330C4B3EB0CA3465574007AFDE7F71D4F69412A9E1730EE7A80AA20445128tDJ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9950F3D741012F96B97D64F82EF83B563C2B3CEDCBB330C4B3EB0CA3465574007AFDE7F6144F69412A9E1730EE7A80AA20445128tDJ3F" TargetMode="External"/><Relationship Id="rId5" Type="http://schemas.openxmlformats.org/officeDocument/2006/relationships/hyperlink" Target="mailto:uzp_engels@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5827</Words>
  <Characters>33218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2024-02-15T06:34:00Z</dcterms:created>
  <dcterms:modified xsi:type="dcterms:W3CDTF">2024-02-15T06:34:00Z</dcterms:modified>
</cp:coreProperties>
</file>