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04" w:rsidRDefault="001F3D04" w:rsidP="001F3D04">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1F3D04">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№72А</w:t>
      </w:r>
    </w:p>
    <w:p w:rsidR="001F3D04" w:rsidRDefault="001F3D04" w:rsidP="001F3D04">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1F3D04" w:rsidRDefault="001F3D04" w:rsidP="001F3D04">
      <w:pPr>
        <w:pStyle w:val="2"/>
        <w:shd w:val="clear" w:color="auto" w:fill="FFFFFF"/>
        <w:spacing w:before="150" w:after="150" w:line="312" w:lineRule="atLeast"/>
        <w:rPr>
          <w:rFonts w:ascii="inherit" w:hAnsi="inherit" w:cs="Arial"/>
          <w:color w:val="333333"/>
          <w:sz w:val="32"/>
          <w:szCs w:val="32"/>
        </w:rPr>
      </w:pPr>
      <w:r>
        <w:rPr>
          <w:rFonts w:ascii="inherit" w:hAnsi="inherit" w:cs="Arial"/>
          <w:color w:val="333333"/>
          <w:sz w:val="32"/>
          <w:szCs w:val="32"/>
        </w:rPr>
        <w:t>УТВЕРЖДАЮ</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Председатель комитета</w:t>
      </w:r>
      <w:r>
        <w:rPr>
          <w:rFonts w:ascii="Arial" w:hAnsi="Arial" w:cs="Arial"/>
          <w:color w:val="333333"/>
          <w:sz w:val="21"/>
          <w:szCs w:val="21"/>
        </w:rPr>
        <w:t> </w:t>
      </w:r>
      <w:r>
        <w:rPr>
          <w:rStyle w:val="a4"/>
          <w:rFonts w:ascii="Arial" w:eastAsiaTheme="majorEastAsia" w:hAnsi="Arial" w:cs="Arial"/>
          <w:color w:val="333333"/>
          <w:sz w:val="21"/>
          <w:szCs w:val="21"/>
        </w:rPr>
        <w:t>по земельным ресурсам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администрации Энгельсского муниципального района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_____________________ Д.В. Чадин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«27» ноября 2018 г.</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Извещение о проведении  аукциона на право заключения договора аренды земельного участка.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eastAsiaTheme="majorEastAsia"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1F3D04" w:rsidRDefault="001F3D04" w:rsidP="001F3D0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«23» октября 2018 года  № 4699</w:t>
      </w:r>
    </w:p>
    <w:p w:rsidR="001F3D04" w:rsidRDefault="001F3D04" w:rsidP="001F3D0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«28» декабря 2018 г. в 09 часов 00 минут по местному времени по адресу: г. Энгельс, пл. Ленина, д. 30, 1 этаж, зал заседаний.</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Порядок проведения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tblCellMar>
          <w:top w:w="15" w:type="dxa"/>
          <w:left w:w="15" w:type="dxa"/>
          <w:bottom w:w="15" w:type="dxa"/>
          <w:right w:w="15" w:type="dxa"/>
        </w:tblCellMar>
        <w:tblLook w:val="04A0" w:firstRow="1" w:lastRow="0" w:firstColumn="1" w:lastColumn="0" w:noHBand="0" w:noVBand="1"/>
      </w:tblPr>
      <w:tblGrid>
        <w:gridCol w:w="4394"/>
        <w:gridCol w:w="4961"/>
      </w:tblGrid>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Местоположение земельного участка       </w:t>
            </w:r>
          </w:p>
        </w:tc>
        <w:tc>
          <w:tcPr>
            <w:tcW w:w="0" w:type="auto"/>
            <w:shd w:val="clear" w:color="auto" w:fill="auto"/>
            <w:vAlign w:val="center"/>
            <w:hideMark/>
          </w:tcPr>
          <w:p w:rsidR="001F3D04" w:rsidRDefault="001F3D04">
            <w:pPr>
              <w:pStyle w:val="a3"/>
              <w:spacing w:before="0" w:beforeAutospacing="0" w:after="150" w:afterAutospacing="0"/>
            </w:pPr>
            <w: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№72А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Площадь земельного участка (кв. м)    </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1000</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Кадастровый номер земельного участка                                             </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64:38:040119:419</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Вид права на земельный участок</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Аренда </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Ограничение прав на земельный участок</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отсутствуют</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Разрешенное использование земельного участка</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Для индивидуального жилищного строительства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Принадлежность земельного участка к определенной категории</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Земли населенных пунктов</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Начальная цена (рыночная оценка) предмета аукциона (устанавливается  в размере  ежегодной арендной платы)</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63400 руб.00 коп</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Шаг аукциона (составляет 3% от начального размера годовой арендной платы за земельный участок)</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1902 руб.00 коп</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Срок аренды земельного участка</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20 лет</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rPr>
                <w:rStyle w:val="a4"/>
                <w:rFonts w:eastAsiaTheme="majorEastAsia"/>
              </w:rPr>
              <w:t>Размер задатка</w:t>
            </w:r>
          </w:p>
        </w:tc>
        <w:tc>
          <w:tcPr>
            <w:tcW w:w="0" w:type="auto"/>
            <w:shd w:val="clear" w:color="auto" w:fill="auto"/>
            <w:vAlign w:val="center"/>
            <w:hideMark/>
          </w:tcPr>
          <w:p w:rsidR="001F3D04" w:rsidRDefault="001F3D04">
            <w:pPr>
              <w:pStyle w:val="4"/>
              <w:spacing w:before="150" w:after="150" w:line="300" w:lineRule="atLeast"/>
              <w:rPr>
                <w:rFonts w:ascii="inherit" w:hAnsi="inherit"/>
                <w:sz w:val="26"/>
                <w:szCs w:val="26"/>
              </w:rPr>
            </w:pPr>
            <w:r>
              <w:rPr>
                <w:rFonts w:ascii="inherit" w:hAnsi="inherit"/>
                <w:sz w:val="26"/>
                <w:szCs w:val="26"/>
              </w:rPr>
              <w:t>63400 руб.00 коп</w:t>
            </w:r>
          </w:p>
        </w:tc>
      </w:tr>
    </w:tbl>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Параметры разрешённого строительства объекта капитального строительства:</w:t>
      </w:r>
    </w:p>
    <w:tbl>
      <w:tblPr>
        <w:tblW w:w="0" w:type="auto"/>
        <w:tblCellMar>
          <w:top w:w="15" w:type="dxa"/>
          <w:left w:w="15" w:type="dxa"/>
          <w:bottom w:w="15" w:type="dxa"/>
          <w:right w:w="15" w:type="dxa"/>
        </w:tblCellMar>
        <w:tblLook w:val="04A0" w:firstRow="1" w:lastRow="0" w:firstColumn="1" w:lastColumn="0" w:noHBand="0" w:noVBand="1"/>
      </w:tblPr>
      <w:tblGrid>
        <w:gridCol w:w="3479"/>
        <w:gridCol w:w="5876"/>
      </w:tblGrid>
      <w:tr w:rsidR="001F3D04" w:rsidTr="001F3D04">
        <w:tc>
          <w:tcPr>
            <w:tcW w:w="0" w:type="auto"/>
            <w:gridSpan w:val="2"/>
            <w:shd w:val="clear" w:color="auto" w:fill="auto"/>
            <w:vAlign w:val="center"/>
            <w:hideMark/>
          </w:tcPr>
          <w:p w:rsidR="001F3D04" w:rsidRDefault="001F3D04">
            <w:pPr>
              <w:pStyle w:val="a3"/>
              <w:spacing w:before="0" w:beforeAutospacing="0" w:after="150" w:afterAutospacing="0"/>
            </w:pPr>
            <w:r>
              <w:rPr>
                <w:rStyle w:val="a4"/>
                <w:rFonts w:eastAsiaTheme="majorEastAsia"/>
              </w:rPr>
              <w:t>ПРЕДЕЛЬНЫЕ ПАРАМЕТРЫ РАЗРЕШЕННОГО СТРОИТЕЛЬСТВА, РЕКОНСТРУКЦИИ ОБЪЕКТОВ КАПИТАЛЬНОГО СТРОИТЕЛЬСТВА</w:t>
            </w:r>
          </w:p>
        </w:tc>
      </w:tr>
      <w:tr w:rsidR="001F3D04" w:rsidTr="001F3D04">
        <w:tc>
          <w:tcPr>
            <w:tcW w:w="0" w:type="auto"/>
            <w:gridSpan w:val="2"/>
            <w:shd w:val="clear" w:color="auto" w:fill="auto"/>
            <w:vAlign w:val="center"/>
            <w:hideMark/>
          </w:tcPr>
          <w:p w:rsidR="001F3D04" w:rsidRDefault="001F3D04">
            <w:pPr>
              <w:pStyle w:val="a3"/>
              <w:spacing w:before="0" w:beforeAutospacing="0" w:after="150" w:afterAutospacing="0"/>
            </w:pPr>
            <w:r>
              <w:rPr>
                <w:rStyle w:val="a4"/>
                <w:rFonts w:eastAsiaTheme="majorEastAsia"/>
              </w:rPr>
              <w:t>Количество этажей</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максимальное</w:t>
            </w:r>
          </w:p>
        </w:tc>
        <w:tc>
          <w:tcPr>
            <w:tcW w:w="0" w:type="auto"/>
            <w:shd w:val="clear" w:color="auto" w:fill="auto"/>
            <w:vAlign w:val="center"/>
            <w:hideMark/>
          </w:tcPr>
          <w:p w:rsidR="001F3D04" w:rsidRDefault="001F3D04">
            <w:pPr>
              <w:pStyle w:val="a3"/>
              <w:spacing w:before="0" w:beforeAutospacing="0" w:after="150" w:afterAutospacing="0"/>
            </w:pPr>
            <w:r>
              <w:t>3</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минимальное</w:t>
            </w:r>
          </w:p>
        </w:tc>
        <w:tc>
          <w:tcPr>
            <w:tcW w:w="0" w:type="auto"/>
            <w:shd w:val="clear" w:color="auto" w:fill="auto"/>
            <w:vAlign w:val="center"/>
            <w:hideMark/>
          </w:tcPr>
          <w:p w:rsidR="001F3D04" w:rsidRDefault="001F3D04">
            <w:pPr>
              <w:pStyle w:val="a3"/>
              <w:spacing w:before="0" w:beforeAutospacing="0" w:after="150" w:afterAutospacing="0"/>
            </w:pPr>
            <w:r>
              <w:t>1</w:t>
            </w:r>
          </w:p>
        </w:tc>
      </w:tr>
      <w:tr w:rsidR="001F3D04" w:rsidTr="001F3D04">
        <w:tc>
          <w:tcPr>
            <w:tcW w:w="0" w:type="auto"/>
            <w:gridSpan w:val="2"/>
            <w:shd w:val="clear" w:color="auto" w:fill="auto"/>
            <w:vAlign w:val="center"/>
            <w:hideMark/>
          </w:tcPr>
          <w:p w:rsidR="001F3D04" w:rsidRDefault="001F3D04">
            <w:pPr>
              <w:pStyle w:val="a3"/>
              <w:spacing w:before="0" w:beforeAutospacing="0" w:after="150" w:afterAutospacing="0"/>
            </w:pPr>
            <w:r>
              <w:rPr>
                <w:rStyle w:val="a4"/>
                <w:rFonts w:eastAsiaTheme="majorEastAsia"/>
              </w:rPr>
              <w:lastRenderedPageBreak/>
              <w:t>Высота зданий, сооружений</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максимальная</w:t>
            </w:r>
          </w:p>
        </w:tc>
        <w:tc>
          <w:tcPr>
            <w:tcW w:w="0" w:type="auto"/>
            <w:shd w:val="clear" w:color="auto" w:fill="auto"/>
            <w:vAlign w:val="center"/>
            <w:hideMark/>
          </w:tcPr>
          <w:p w:rsidR="001F3D04" w:rsidRDefault="001F3D04">
            <w:pPr>
              <w:pStyle w:val="a3"/>
              <w:spacing w:before="0" w:beforeAutospacing="0" w:after="150" w:afterAutospacing="0"/>
            </w:pPr>
            <w:r>
              <w:t>12 метров</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минимальная</w:t>
            </w:r>
          </w:p>
        </w:tc>
        <w:tc>
          <w:tcPr>
            <w:tcW w:w="0" w:type="auto"/>
            <w:shd w:val="clear" w:color="auto" w:fill="auto"/>
            <w:vAlign w:val="center"/>
            <w:hideMark/>
          </w:tcPr>
          <w:p w:rsidR="001F3D04" w:rsidRDefault="001F3D04">
            <w:pPr>
              <w:pStyle w:val="a3"/>
              <w:spacing w:before="0" w:beforeAutospacing="0" w:after="150" w:afterAutospacing="0"/>
            </w:pPr>
            <w:r>
              <w:t>3 метра</w:t>
            </w:r>
          </w:p>
        </w:tc>
      </w:tr>
      <w:tr w:rsidR="001F3D04" w:rsidTr="001F3D04">
        <w:tc>
          <w:tcPr>
            <w:tcW w:w="0" w:type="auto"/>
            <w:gridSpan w:val="2"/>
            <w:shd w:val="clear" w:color="auto" w:fill="auto"/>
            <w:vAlign w:val="center"/>
            <w:hideMark/>
          </w:tcPr>
          <w:p w:rsidR="001F3D04" w:rsidRDefault="001F3D04">
            <w:pPr>
              <w:pStyle w:val="a3"/>
              <w:spacing w:before="0" w:beforeAutospacing="0" w:after="150" w:afterAutospacing="0"/>
            </w:pPr>
            <w:r>
              <w:rPr>
                <w:rStyle w:val="a4"/>
                <w:rFonts w:eastAsiaTheme="majorEastAsia"/>
              </w:rPr>
              <w:t>Процент застройки</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максимальное</w:t>
            </w:r>
          </w:p>
        </w:tc>
        <w:tc>
          <w:tcPr>
            <w:tcW w:w="0" w:type="auto"/>
            <w:shd w:val="clear" w:color="auto" w:fill="auto"/>
            <w:vAlign w:val="center"/>
            <w:hideMark/>
          </w:tcPr>
          <w:p w:rsidR="001F3D04" w:rsidRDefault="001F3D04">
            <w:pPr>
              <w:pStyle w:val="a3"/>
              <w:spacing w:before="0" w:beforeAutospacing="0" w:after="150" w:afterAutospacing="0"/>
            </w:pPr>
            <w:r>
              <w:t>определяется проектной документацией</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минимальное</w:t>
            </w:r>
          </w:p>
        </w:tc>
        <w:tc>
          <w:tcPr>
            <w:tcW w:w="0" w:type="auto"/>
            <w:shd w:val="clear" w:color="auto" w:fill="auto"/>
            <w:vAlign w:val="center"/>
            <w:hideMark/>
          </w:tcPr>
          <w:p w:rsidR="001F3D04" w:rsidRDefault="001F3D04">
            <w:pPr>
              <w:pStyle w:val="a3"/>
              <w:spacing w:before="0" w:beforeAutospacing="0" w:after="150" w:afterAutospacing="0"/>
            </w:pPr>
            <w:r>
              <w:t>не нормируется</w:t>
            </w:r>
          </w:p>
        </w:tc>
      </w:tr>
      <w:tr w:rsidR="001F3D04" w:rsidTr="001F3D04">
        <w:tc>
          <w:tcPr>
            <w:tcW w:w="0" w:type="auto"/>
            <w:gridSpan w:val="2"/>
            <w:shd w:val="clear" w:color="auto" w:fill="auto"/>
            <w:vAlign w:val="center"/>
            <w:hideMark/>
          </w:tcPr>
          <w:p w:rsidR="001F3D04" w:rsidRDefault="001F3D04">
            <w:pPr>
              <w:pStyle w:val="a3"/>
              <w:spacing w:before="0" w:beforeAutospacing="0" w:after="150" w:afterAutospacing="0"/>
            </w:pPr>
            <w:r>
              <w:rPr>
                <w:rStyle w:val="a4"/>
                <w:rFonts w:eastAsiaTheme="majorEastAsia"/>
              </w:rPr>
              <w:t>Иные показатели</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максимальная высота ограждения вдоль улиц</w:t>
            </w:r>
          </w:p>
        </w:tc>
        <w:tc>
          <w:tcPr>
            <w:tcW w:w="0" w:type="auto"/>
            <w:shd w:val="clear" w:color="auto" w:fill="auto"/>
            <w:vAlign w:val="center"/>
            <w:hideMark/>
          </w:tcPr>
          <w:p w:rsidR="001F3D04" w:rsidRDefault="001F3D04">
            <w:pPr>
              <w:pStyle w:val="a3"/>
              <w:spacing w:before="0" w:beforeAutospacing="0" w:after="150" w:afterAutospacing="0"/>
            </w:pPr>
            <w:r>
              <w:t>1,8 метра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максимальная высота ограждения между соседними участками</w:t>
            </w:r>
          </w:p>
        </w:tc>
        <w:tc>
          <w:tcPr>
            <w:tcW w:w="0" w:type="auto"/>
            <w:shd w:val="clear" w:color="auto" w:fill="auto"/>
            <w:vAlign w:val="center"/>
            <w:hideMark/>
          </w:tcPr>
          <w:p w:rsidR="001F3D04" w:rsidRDefault="001F3D04">
            <w:pPr>
              <w:pStyle w:val="a3"/>
              <w:spacing w:before="0" w:beforeAutospacing="0" w:after="150" w:afterAutospacing="0"/>
            </w:pPr>
            <w:r>
              <w:t>1,8 метра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конструктивное решение ограждения между соседними участками</w:t>
            </w:r>
          </w:p>
        </w:tc>
        <w:tc>
          <w:tcPr>
            <w:tcW w:w="0" w:type="auto"/>
            <w:shd w:val="clear" w:color="auto" w:fill="auto"/>
            <w:vAlign w:val="center"/>
            <w:hideMark/>
          </w:tcPr>
          <w:p w:rsidR="001F3D04" w:rsidRDefault="001F3D04">
            <w:pPr>
              <w:pStyle w:val="a3"/>
              <w:spacing w:before="0" w:beforeAutospacing="0" w:after="150" w:afterAutospacing="0"/>
            </w:pPr>
            <w:r>
              <w:t>устройство проветриваемого ограждения</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отступ застройки от красной линии</w:t>
            </w:r>
          </w:p>
        </w:tc>
        <w:tc>
          <w:tcPr>
            <w:tcW w:w="0" w:type="auto"/>
            <w:shd w:val="clear" w:color="auto" w:fill="auto"/>
            <w:vAlign w:val="center"/>
            <w:hideMark/>
          </w:tcPr>
          <w:p w:rsidR="001F3D04" w:rsidRDefault="001F3D04">
            <w:pPr>
              <w:pStyle w:val="a3"/>
              <w:spacing w:before="0" w:beforeAutospacing="0" w:after="150" w:afterAutospacing="0"/>
            </w:pPr>
            <w:r>
              <w:t>в соответствии с техническими регламентами, региональными и местными нормативами градостроительного проектирования</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отступ застройки от межи, разделяющей соседние участки</w:t>
            </w:r>
          </w:p>
        </w:tc>
        <w:tc>
          <w:tcPr>
            <w:tcW w:w="0" w:type="auto"/>
            <w:shd w:val="clear" w:color="auto" w:fill="auto"/>
            <w:vAlign w:val="center"/>
            <w:hideMark/>
          </w:tcPr>
          <w:p w:rsidR="001F3D04" w:rsidRDefault="001F3D04">
            <w:pPr>
              <w:pStyle w:val="a3"/>
              <w:spacing w:before="0" w:beforeAutospacing="0" w:after="150" w:afterAutospacing="0"/>
            </w:pPr>
            <w:r>
              <w:t>в соответствии с техническими регламентами, региональными и местными нормативами градостроительного проектирования</w:t>
            </w:r>
          </w:p>
        </w:tc>
      </w:tr>
    </w:tbl>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Технические условия: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Электроснабжение: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1 квартал, №72А, кадастровый номер земельного участка 64:38:040119:419 возможно осуществить от ВЛ-0,4 кВ Л-2 от  КТП-40-6/0,4 кВ по ВЛ-6кВ Л-2 от ПС 110кВ «Орошение-3»</w:t>
      </w:r>
    </w:p>
    <w:tbl>
      <w:tblPr>
        <w:tblW w:w="0" w:type="auto"/>
        <w:tblCellMar>
          <w:top w:w="15" w:type="dxa"/>
          <w:left w:w="15" w:type="dxa"/>
          <w:bottom w:w="15" w:type="dxa"/>
          <w:right w:w="15" w:type="dxa"/>
        </w:tblCellMar>
        <w:tblLook w:val="04A0" w:firstRow="1" w:lastRow="0" w:firstColumn="1" w:lastColumn="0" w:noHBand="0" w:noVBand="1"/>
      </w:tblPr>
      <w:tblGrid>
        <w:gridCol w:w="3730"/>
        <w:gridCol w:w="5625"/>
      </w:tblGrid>
      <w:tr w:rsidR="001F3D04" w:rsidTr="001F3D04">
        <w:tc>
          <w:tcPr>
            <w:tcW w:w="0" w:type="auto"/>
            <w:shd w:val="clear" w:color="auto" w:fill="auto"/>
            <w:vAlign w:val="center"/>
            <w:hideMark/>
          </w:tcPr>
          <w:p w:rsidR="001F3D04" w:rsidRDefault="001F3D04">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auto"/>
            <w:vAlign w:val="center"/>
            <w:hideMark/>
          </w:tcPr>
          <w:p w:rsidR="001F3D04" w:rsidRDefault="001F3D04">
            <w:r>
              <w:t> </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1F3D04" w:rsidRDefault="001F3D04">
            <w:pPr>
              <w:pStyle w:val="a3"/>
              <w:spacing w:before="0" w:beforeAutospacing="0" w:after="150" w:afterAutospacing="0"/>
            </w:pPr>
            <w: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lastRenderedPageBreak/>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Определяется перечнем энергопринимающих устройств Заявителя и указывается им в заявке на технологическое присоединение.</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Срок осуществления мероприятий по технологическому присоединению исчисляется со дня заключения договора и не может превышать:</w:t>
            </w:r>
          </w:p>
          <w:p w:rsidR="001F3D04" w:rsidRDefault="001F3D04">
            <w:pPr>
              <w:pStyle w:val="a3"/>
              <w:spacing w:before="0" w:beforeAutospacing="0" w:after="150" w:afterAutospacing="0"/>
            </w:pPr>
            <w: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F3D04" w:rsidRDefault="001F3D04">
            <w:pPr>
              <w:pStyle w:val="a3"/>
              <w:spacing w:before="0" w:beforeAutospacing="0" w:after="150" w:afterAutospacing="0"/>
            </w:pPr>
            <w: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1F3D04" w:rsidRDefault="001F3D04">
            <w:pPr>
              <w:pStyle w:val="a3"/>
              <w:spacing w:before="0" w:beforeAutospacing="0" w:after="150" w:afterAutospacing="0"/>
            </w:pPr>
            <w:r>
              <w:t>Срок действия технических условий не может составлять менее 2 лет и более 5 лет.</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71/7 от 27.12.2017 г. и № 46/2 от 19.12.2013г.</w:t>
            </w:r>
          </w:p>
        </w:tc>
      </w:tr>
    </w:tbl>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Водоснабжение и теплоснабжение: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0" w:type="auto"/>
        <w:tblCellMar>
          <w:top w:w="15" w:type="dxa"/>
          <w:left w:w="15" w:type="dxa"/>
          <w:bottom w:w="15" w:type="dxa"/>
          <w:right w:w="15" w:type="dxa"/>
        </w:tblCellMar>
        <w:tblLook w:val="04A0" w:firstRow="1" w:lastRow="0" w:firstColumn="1" w:lastColumn="0" w:noHBand="0" w:noVBand="1"/>
      </w:tblPr>
      <w:tblGrid>
        <w:gridCol w:w="3832"/>
        <w:gridCol w:w="5523"/>
      </w:tblGrid>
      <w:tr w:rsidR="001F3D04" w:rsidTr="001F3D04">
        <w:tc>
          <w:tcPr>
            <w:tcW w:w="0" w:type="auto"/>
            <w:shd w:val="clear" w:color="auto" w:fill="auto"/>
            <w:vAlign w:val="center"/>
            <w:hideMark/>
          </w:tcPr>
          <w:p w:rsidR="001F3D04" w:rsidRDefault="001F3D04">
            <w:pPr>
              <w:pStyle w:val="a3"/>
              <w:spacing w:before="0" w:beforeAutospacing="0" w:after="150" w:afterAutospacing="0"/>
            </w:pPr>
            <w: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auto"/>
            <w:vAlign w:val="center"/>
            <w:hideMark/>
          </w:tcPr>
          <w:p w:rsidR="001F3D04" w:rsidRDefault="001F3D04">
            <w:r>
              <w:t> </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1F3D04" w:rsidRDefault="001F3D04">
            <w:pPr>
              <w:pStyle w:val="a3"/>
              <w:spacing w:before="0" w:beforeAutospacing="0" w:after="150" w:afterAutospacing="0"/>
            </w:pPr>
            <w:r>
              <w:t>0,04 куб.м/час</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0,04 куб.м/час</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Правообладателю земельного участка из перспективной зоны развития п. Новопушкинское необходимо совместно с другими собственниками данной зоны получить технические условия на уточнение точки подключения на источнике водоснабжения ВОС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1F3D04" w:rsidRDefault="001F3D04">
            <w:pPr>
              <w:pStyle w:val="a3"/>
              <w:spacing w:before="0" w:beforeAutospacing="0" w:after="150" w:afterAutospacing="0"/>
            </w:pPr>
            <w:r>
              <w:t>1 год</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отсутствует</w:t>
            </w:r>
          </w:p>
        </w:tc>
      </w:tr>
    </w:tbl>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Газораспределение: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1 квартал, № 72А</w:t>
      </w:r>
    </w:p>
    <w:tbl>
      <w:tblPr>
        <w:tblW w:w="0" w:type="auto"/>
        <w:tblCellMar>
          <w:top w:w="15" w:type="dxa"/>
          <w:left w:w="15" w:type="dxa"/>
          <w:bottom w:w="15" w:type="dxa"/>
          <w:right w:w="15" w:type="dxa"/>
        </w:tblCellMar>
        <w:tblLook w:val="04A0" w:firstRow="1" w:lastRow="0" w:firstColumn="1" w:lastColumn="0" w:noHBand="0" w:noVBand="1"/>
      </w:tblPr>
      <w:tblGrid>
        <w:gridCol w:w="5207"/>
        <w:gridCol w:w="4148"/>
      </w:tblGrid>
      <w:tr w:rsidR="001F3D04" w:rsidTr="001F3D04">
        <w:tc>
          <w:tcPr>
            <w:tcW w:w="0" w:type="auto"/>
            <w:shd w:val="clear" w:color="auto" w:fill="auto"/>
            <w:vAlign w:val="center"/>
            <w:hideMark/>
          </w:tcPr>
          <w:p w:rsidR="001F3D04" w:rsidRDefault="001F3D04">
            <w:pPr>
              <w:pStyle w:val="a3"/>
              <w:spacing w:before="0" w:beforeAutospacing="0" w:after="150" w:afterAutospacing="0"/>
            </w:pPr>
            <w:r>
              <w:t>Предельная свободная мощность существующих сетей</w:t>
            </w:r>
          </w:p>
        </w:tc>
        <w:tc>
          <w:tcPr>
            <w:tcW w:w="0" w:type="auto"/>
            <w:shd w:val="clear" w:color="auto" w:fill="auto"/>
            <w:vAlign w:val="center"/>
            <w:hideMark/>
          </w:tcPr>
          <w:p w:rsidR="001F3D04" w:rsidRDefault="001F3D04">
            <w:pPr>
              <w:pStyle w:val="a3"/>
              <w:spacing w:before="0" w:beforeAutospacing="0" w:after="150" w:afterAutospacing="0"/>
            </w:pPr>
            <w:r>
              <w:t>0,005 МПа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Максимальная нагрузка подключения объекта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0,002 МПа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Сроки подключения объекта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В течение 10-ти рабочих дней со дня подписания договора подряда Заказчиком</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Срок действия технических условий</w:t>
            </w:r>
          </w:p>
        </w:tc>
        <w:tc>
          <w:tcPr>
            <w:tcW w:w="0" w:type="auto"/>
            <w:shd w:val="clear" w:color="auto" w:fill="auto"/>
            <w:vAlign w:val="center"/>
            <w:hideMark/>
          </w:tcPr>
          <w:p w:rsidR="001F3D04" w:rsidRDefault="001F3D04">
            <w:pPr>
              <w:pStyle w:val="a3"/>
              <w:spacing w:before="0" w:beforeAutospacing="0" w:after="150" w:afterAutospacing="0"/>
            </w:pPr>
            <w:r>
              <w:t>2 года</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lastRenderedPageBreak/>
              <w:t>Плата за подключение (технологическое присоединение) к сетям инженерно-технического обеспечения</w:t>
            </w:r>
          </w:p>
        </w:tc>
        <w:tc>
          <w:tcPr>
            <w:tcW w:w="0" w:type="auto"/>
            <w:shd w:val="clear" w:color="auto" w:fill="auto"/>
            <w:vAlign w:val="center"/>
            <w:hideMark/>
          </w:tcPr>
          <w:p w:rsidR="001F3D04" w:rsidRDefault="001F3D04">
            <w:pPr>
              <w:pStyle w:val="a3"/>
              <w:spacing w:before="0" w:beforeAutospacing="0" w:after="150" w:afterAutospacing="0"/>
            </w:pPr>
            <w:r>
              <w:t>По договоренности с Собственником (Заказчиком)</w:t>
            </w:r>
          </w:p>
        </w:tc>
      </w:tr>
    </w:tbl>
    <w:p w:rsidR="001F3D04" w:rsidRDefault="001F3D04" w:rsidP="001F3D04">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в форме электронного документа подписывается по выбору заявителя (если заявителем является физическое лицо):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«27» ноября 2018 года.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«24» декабря 2018 года.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Форма  заявки  на  участие  в аукционе по продаже права на заключение договора аренды земельного участка: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Председателю комитета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администрации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Д.В. Чадину</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«27» ноября 2018  г.  размещено на официальном сайте Российской Федерации о проведении торгов www.torgi.gov.ru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___________________________________________________________________________________________________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юридического лица  Ф.И.О. полностью с указанием должности)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Для заполнения  представителем   физического или юридического лица: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(нужное подчеркнуть)</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Банковские реквизиты для возврата задатка: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КПП 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tblCellMar>
          <w:top w:w="15" w:type="dxa"/>
          <w:left w:w="15" w:type="dxa"/>
          <w:bottom w:w="15" w:type="dxa"/>
          <w:right w:w="15" w:type="dxa"/>
        </w:tblCellMar>
        <w:tblLook w:val="04A0" w:firstRow="1" w:lastRow="0" w:firstColumn="1" w:lastColumn="0" w:noHBand="0" w:noVBand="1"/>
      </w:tblPr>
      <w:tblGrid>
        <w:gridCol w:w="6519"/>
        <w:gridCol w:w="2836"/>
      </w:tblGrid>
      <w:tr w:rsidR="001F3D04" w:rsidTr="001F3D04">
        <w:tc>
          <w:tcPr>
            <w:tcW w:w="0" w:type="auto"/>
            <w:shd w:val="clear" w:color="auto" w:fill="auto"/>
            <w:vAlign w:val="center"/>
            <w:hideMark/>
          </w:tcPr>
          <w:p w:rsidR="001F3D04" w:rsidRDefault="001F3D04">
            <w:pPr>
              <w:pStyle w:val="a3"/>
              <w:spacing w:before="0" w:beforeAutospacing="0" w:after="150" w:afterAutospacing="0"/>
            </w:pPr>
            <w:r>
              <w:t>Результат предоставления муниципальной услуги прошу выдать:</w:t>
            </w:r>
          </w:p>
        </w:tc>
        <w:tc>
          <w:tcPr>
            <w:tcW w:w="0" w:type="auto"/>
            <w:shd w:val="clear" w:color="auto" w:fill="auto"/>
            <w:vAlign w:val="center"/>
            <w:hideMark/>
          </w:tcPr>
          <w:p w:rsidR="001F3D04" w:rsidRDefault="001F3D04">
            <w:pPr>
              <w:pStyle w:val="a3"/>
              <w:spacing w:before="0" w:beforeAutospacing="0" w:after="150" w:afterAutospacing="0"/>
            </w:pPr>
            <w:r>
              <w:t>Отметить нужное  (знаком V)</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посредством личного обращения</w:t>
            </w:r>
          </w:p>
        </w:tc>
        <w:tc>
          <w:tcPr>
            <w:tcW w:w="0" w:type="auto"/>
            <w:shd w:val="clear" w:color="auto" w:fill="auto"/>
            <w:vAlign w:val="center"/>
            <w:hideMark/>
          </w:tcPr>
          <w:p w:rsidR="001F3D04" w:rsidRDefault="001F3D04">
            <w:r>
              <w:t> </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посредством почтового отправления</w:t>
            </w:r>
          </w:p>
        </w:tc>
        <w:tc>
          <w:tcPr>
            <w:tcW w:w="0" w:type="auto"/>
            <w:shd w:val="clear" w:color="auto" w:fill="auto"/>
            <w:vAlign w:val="center"/>
            <w:hideMark/>
          </w:tcPr>
          <w:p w:rsidR="001F3D04" w:rsidRDefault="001F3D04">
            <w:r>
              <w:t> </w:t>
            </w:r>
          </w:p>
        </w:tc>
      </w:tr>
      <w:tr w:rsidR="001F3D04" w:rsidTr="001F3D04">
        <w:tc>
          <w:tcPr>
            <w:tcW w:w="0" w:type="auto"/>
            <w:shd w:val="clear" w:color="auto" w:fill="auto"/>
            <w:vAlign w:val="center"/>
            <w:hideMark/>
          </w:tcPr>
          <w:p w:rsidR="001F3D04" w:rsidRDefault="001F3D04">
            <w:pPr>
              <w:pStyle w:val="a3"/>
              <w:spacing w:before="0" w:beforeAutospacing="0" w:after="150" w:afterAutospacing="0"/>
            </w:pPr>
            <w:r>
              <w:t>в форме электронного документа на указанный адрес электронной почты</w:t>
            </w:r>
          </w:p>
        </w:tc>
        <w:tc>
          <w:tcPr>
            <w:tcW w:w="0" w:type="auto"/>
            <w:shd w:val="clear" w:color="auto" w:fill="auto"/>
            <w:vAlign w:val="center"/>
            <w:hideMark/>
          </w:tcPr>
          <w:p w:rsidR="001F3D04" w:rsidRDefault="001F3D04">
            <w:r>
              <w:t> </w:t>
            </w:r>
          </w:p>
        </w:tc>
      </w:tr>
    </w:tbl>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1F3D04" w:rsidRDefault="001F3D04" w:rsidP="001F3D0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eastAsiaTheme="majorEastAsia" w:hAnsi="Arial" w:cs="Arial"/>
          <w:color w:val="333333"/>
          <w:sz w:val="21"/>
          <w:szCs w:val="21"/>
        </w:rPr>
        <w:t>Лоту № 1</w:t>
      </w:r>
      <w:r>
        <w:rPr>
          <w:rFonts w:ascii="Arial" w:hAnsi="Arial" w:cs="Arial"/>
          <w:color w:val="333333"/>
          <w:sz w:val="21"/>
          <w:szCs w:val="21"/>
        </w:rPr>
        <w:t> составляет </w:t>
      </w:r>
      <w:r>
        <w:rPr>
          <w:rStyle w:val="a4"/>
          <w:rFonts w:ascii="Arial" w:eastAsiaTheme="majorEastAsia" w:hAnsi="Arial" w:cs="Arial"/>
          <w:color w:val="333333"/>
          <w:sz w:val="21"/>
          <w:szCs w:val="21"/>
        </w:rPr>
        <w:t>63 400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Расчетный счет 40302810022025630141</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1F3D04" w:rsidRDefault="001F3D04" w:rsidP="001F3D04">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___________________________________*(1)</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 20____года </w:t>
      </w:r>
      <w:r>
        <w:rPr>
          <w:rStyle w:val="a6"/>
          <w:rFonts w:ascii="Arial" w:hAnsi="Arial" w:cs="Arial"/>
          <w:color w:val="333333"/>
          <w:sz w:val="21"/>
          <w:szCs w:val="21"/>
        </w:rPr>
        <w:t>в соответствии с _________________ статьи 39.8 Земельного кодекса РФ.</w:t>
      </w:r>
      <w:r>
        <w:rPr>
          <w:rFonts w:ascii="Arial" w:hAnsi="Arial" w:cs="Arial"/>
          <w:color w:val="333333"/>
          <w:sz w:val="21"/>
          <w:szCs w:val="21"/>
        </w:rPr>
        <w:t> *(2)</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или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1F3D04" w:rsidRDefault="001F3D04" w:rsidP="001F3D04">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1F3D04" w:rsidRDefault="001F3D04" w:rsidP="001F3D04">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w:t>
      </w:r>
      <w:r>
        <w:rPr>
          <w:rFonts w:ascii="Arial" w:hAnsi="Arial" w:cs="Arial"/>
          <w:color w:val="333333"/>
          <w:sz w:val="21"/>
          <w:szCs w:val="21"/>
        </w:rPr>
        <w:lastRenderedPageBreak/>
        <w:t>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1F3D04" w:rsidRDefault="001F3D04" w:rsidP="001F3D04">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F3D04" w:rsidRDefault="001F3D04" w:rsidP="001F3D04">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1F3D04" w:rsidRDefault="001F3D04" w:rsidP="001F3D04">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1F3D04" w:rsidRDefault="001F3D04" w:rsidP="001F3D04">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Стороны пришли к соглашению, что все споры в суде рассматриваются по месту нахождения Земельного участка (договорная подсудность).</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1F3D04" w:rsidRDefault="001F3D04" w:rsidP="001F3D04">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Подписи сторон:</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                                     ________________________________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1F3D04" w:rsidRDefault="001F3D04" w:rsidP="001F3D0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Акт приема-передачи земельного участка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                                                                       ______________________________</w:t>
      </w:r>
    </w:p>
    <w:p w:rsid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1F3D04" w:rsidRPr="001F3D04" w:rsidRDefault="001F3D04" w:rsidP="001F3D04">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066800"/>
            <wp:effectExtent l="0" t="0" r="0" b="0"/>
            <wp:docPr id="1" name="Рисунок 1" descr=" 1 квартал 72А">
              <a:hlinkClick xmlns:a="http://schemas.openxmlformats.org/drawingml/2006/main" r:id="rId6" tooltip="&quot;Извещение о проведении  аукциона на право заключения договора аренды земельного участка расположенного: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72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 квартал 72А">
                      <a:hlinkClick r:id="rId6" tooltip="&quot;Извещение о проведении  аукциона на право заключения договора аренды земельного участка расположенного: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72А&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47A7"/>
    <w:multiLevelType w:val="multilevel"/>
    <w:tmpl w:val="45E00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27C96"/>
    <w:multiLevelType w:val="multilevel"/>
    <w:tmpl w:val="A492F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356C6"/>
    <w:multiLevelType w:val="multilevel"/>
    <w:tmpl w:val="468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6053D"/>
    <w:multiLevelType w:val="multilevel"/>
    <w:tmpl w:val="24007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B1266"/>
    <w:multiLevelType w:val="multilevel"/>
    <w:tmpl w:val="0E5C5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27A30"/>
    <w:multiLevelType w:val="multilevel"/>
    <w:tmpl w:val="94F4BA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5139C"/>
    <w:multiLevelType w:val="multilevel"/>
    <w:tmpl w:val="F37CA5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94DE1"/>
    <w:multiLevelType w:val="multilevel"/>
    <w:tmpl w:val="EE56F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60C7C"/>
    <w:multiLevelType w:val="multilevel"/>
    <w:tmpl w:val="4E44E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8021C"/>
    <w:multiLevelType w:val="multilevel"/>
    <w:tmpl w:val="4184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3565D4"/>
    <w:multiLevelType w:val="multilevel"/>
    <w:tmpl w:val="81A8A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306E2"/>
    <w:multiLevelType w:val="multilevel"/>
    <w:tmpl w:val="95601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37836"/>
    <w:multiLevelType w:val="multilevel"/>
    <w:tmpl w:val="E90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B4C4A"/>
    <w:multiLevelType w:val="multilevel"/>
    <w:tmpl w:val="015209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007E6F"/>
    <w:multiLevelType w:val="multilevel"/>
    <w:tmpl w:val="542C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3"/>
  </w:num>
  <w:num w:numId="4">
    <w:abstractNumId w:val="3"/>
  </w:num>
  <w:num w:numId="5">
    <w:abstractNumId w:val="7"/>
  </w:num>
  <w:num w:numId="6">
    <w:abstractNumId w:val="9"/>
  </w:num>
  <w:num w:numId="7">
    <w:abstractNumId w:val="10"/>
  </w:num>
  <w:num w:numId="8">
    <w:abstractNumId w:val="14"/>
  </w:num>
  <w:num w:numId="9">
    <w:abstractNumId w:val="1"/>
  </w:num>
  <w:num w:numId="10">
    <w:abstractNumId w:val="0"/>
  </w:num>
  <w:num w:numId="11">
    <w:abstractNumId w:val="11"/>
  </w:num>
  <w:num w:numId="12">
    <w:abstractNumId w:val="6"/>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04"/>
    <w:rsid w:val="001F3D04"/>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1CF1"/>
  <w15:chartTrackingRefBased/>
  <w15:docId w15:val="{93B76A10-810C-4BA7-A5A8-FDC39A7C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3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3D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F3D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F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D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F3D0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F3D0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F3D04"/>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1F3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3D04"/>
    <w:rPr>
      <w:b/>
      <w:bCs/>
    </w:rPr>
  </w:style>
  <w:style w:type="character" w:styleId="a5">
    <w:name w:val="Hyperlink"/>
    <w:basedOn w:val="a0"/>
    <w:uiPriority w:val="99"/>
    <w:semiHidden/>
    <w:unhideWhenUsed/>
    <w:rsid w:val="001F3D04"/>
    <w:rPr>
      <w:color w:val="0000FF"/>
      <w:u w:val="single"/>
    </w:rPr>
  </w:style>
  <w:style w:type="character" w:styleId="a6">
    <w:name w:val="Emphasis"/>
    <w:basedOn w:val="a0"/>
    <w:uiPriority w:val="20"/>
    <w:qFormat/>
    <w:rsid w:val="001F3D04"/>
    <w:rPr>
      <w:i/>
      <w:iCs/>
    </w:rPr>
  </w:style>
  <w:style w:type="character" w:customStyle="1" w:styleId="separator">
    <w:name w:val="separator"/>
    <w:basedOn w:val="a0"/>
    <w:rsid w:val="001F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2052">
      <w:bodyDiv w:val="1"/>
      <w:marLeft w:val="0"/>
      <w:marRight w:val="0"/>
      <w:marTop w:val="0"/>
      <w:marBottom w:val="0"/>
      <w:divBdr>
        <w:top w:val="none" w:sz="0" w:space="0" w:color="auto"/>
        <w:left w:val="none" w:sz="0" w:space="0" w:color="auto"/>
        <w:bottom w:val="none" w:sz="0" w:space="0" w:color="auto"/>
        <w:right w:val="none" w:sz="0" w:space="0" w:color="auto"/>
      </w:divBdr>
      <w:divsChild>
        <w:div w:id="308634792">
          <w:marLeft w:val="0"/>
          <w:marRight w:val="0"/>
          <w:marTop w:val="0"/>
          <w:marBottom w:val="0"/>
          <w:divBdr>
            <w:top w:val="none" w:sz="0" w:space="0" w:color="auto"/>
            <w:left w:val="none" w:sz="0" w:space="0" w:color="auto"/>
            <w:bottom w:val="none" w:sz="0" w:space="0" w:color="auto"/>
            <w:right w:val="none" w:sz="0" w:space="0" w:color="auto"/>
          </w:divBdr>
          <w:divsChild>
            <w:div w:id="5333419">
              <w:marLeft w:val="0"/>
              <w:marRight w:val="0"/>
              <w:marTop w:val="0"/>
              <w:marBottom w:val="0"/>
              <w:divBdr>
                <w:top w:val="none" w:sz="0" w:space="0" w:color="auto"/>
                <w:left w:val="none" w:sz="0" w:space="0" w:color="auto"/>
                <w:bottom w:val="none" w:sz="0" w:space="0" w:color="auto"/>
                <w:right w:val="none" w:sz="0" w:space="0" w:color="auto"/>
              </w:divBdr>
              <w:divsChild>
                <w:div w:id="22291081">
                  <w:marLeft w:val="0"/>
                  <w:marRight w:val="0"/>
                  <w:marTop w:val="0"/>
                  <w:marBottom w:val="0"/>
                  <w:divBdr>
                    <w:top w:val="none" w:sz="0" w:space="0" w:color="auto"/>
                    <w:left w:val="none" w:sz="0" w:space="0" w:color="auto"/>
                    <w:bottom w:val="none" w:sz="0" w:space="0" w:color="auto"/>
                    <w:right w:val="none" w:sz="0" w:space="0" w:color="auto"/>
                  </w:divBdr>
                  <w:divsChild>
                    <w:div w:id="252517200">
                      <w:marLeft w:val="450"/>
                      <w:marRight w:val="0"/>
                      <w:marTop w:val="0"/>
                      <w:marBottom w:val="0"/>
                      <w:divBdr>
                        <w:top w:val="none" w:sz="0" w:space="0" w:color="auto"/>
                        <w:left w:val="none" w:sz="0" w:space="0" w:color="auto"/>
                        <w:bottom w:val="none" w:sz="0" w:space="0" w:color="auto"/>
                        <w:right w:val="none" w:sz="0" w:space="0" w:color="auto"/>
                      </w:divBdr>
                      <w:divsChild>
                        <w:div w:id="1100030562">
                          <w:marLeft w:val="0"/>
                          <w:marRight w:val="0"/>
                          <w:marTop w:val="0"/>
                          <w:marBottom w:val="0"/>
                          <w:divBdr>
                            <w:top w:val="none" w:sz="0" w:space="0" w:color="auto"/>
                            <w:left w:val="none" w:sz="0" w:space="0" w:color="auto"/>
                            <w:bottom w:val="none" w:sz="0" w:space="0" w:color="auto"/>
                            <w:right w:val="none" w:sz="0" w:space="0" w:color="auto"/>
                          </w:divBdr>
                          <w:divsChild>
                            <w:div w:id="1353725460">
                              <w:marLeft w:val="0"/>
                              <w:marRight w:val="0"/>
                              <w:marTop w:val="0"/>
                              <w:marBottom w:val="0"/>
                              <w:divBdr>
                                <w:top w:val="none" w:sz="0" w:space="0" w:color="auto"/>
                                <w:left w:val="none" w:sz="0" w:space="0" w:color="auto"/>
                                <w:bottom w:val="none" w:sz="0" w:space="0" w:color="auto"/>
                                <w:right w:val="none" w:sz="0" w:space="0" w:color="auto"/>
                              </w:divBdr>
                              <w:divsChild>
                                <w:div w:id="7509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1542">
                      <w:marLeft w:val="450"/>
                      <w:marRight w:val="0"/>
                      <w:marTop w:val="0"/>
                      <w:marBottom w:val="0"/>
                      <w:divBdr>
                        <w:top w:val="none" w:sz="0" w:space="0" w:color="auto"/>
                        <w:left w:val="none" w:sz="0" w:space="0" w:color="auto"/>
                        <w:bottom w:val="none" w:sz="0" w:space="0" w:color="auto"/>
                        <w:right w:val="none" w:sz="0" w:space="0" w:color="auto"/>
                      </w:divBdr>
                      <w:divsChild>
                        <w:div w:id="252855661">
                          <w:marLeft w:val="0"/>
                          <w:marRight w:val="0"/>
                          <w:marTop w:val="0"/>
                          <w:marBottom w:val="0"/>
                          <w:divBdr>
                            <w:top w:val="none" w:sz="0" w:space="0" w:color="auto"/>
                            <w:left w:val="none" w:sz="0" w:space="0" w:color="auto"/>
                            <w:bottom w:val="none" w:sz="0" w:space="0" w:color="auto"/>
                            <w:right w:val="none" w:sz="0" w:space="0" w:color="auto"/>
                          </w:divBdr>
                          <w:divsChild>
                            <w:div w:id="13774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411168">
          <w:marLeft w:val="0"/>
          <w:marRight w:val="0"/>
          <w:marTop w:val="0"/>
          <w:marBottom w:val="0"/>
          <w:divBdr>
            <w:top w:val="single" w:sz="6" w:space="19" w:color="999999"/>
            <w:left w:val="none" w:sz="0" w:space="0" w:color="auto"/>
            <w:bottom w:val="none" w:sz="0" w:space="0" w:color="auto"/>
            <w:right w:val="none" w:sz="0" w:space="0" w:color="auto"/>
          </w:divBdr>
          <w:divsChild>
            <w:div w:id="1780636679">
              <w:marLeft w:val="0"/>
              <w:marRight w:val="0"/>
              <w:marTop w:val="0"/>
              <w:marBottom w:val="0"/>
              <w:divBdr>
                <w:top w:val="none" w:sz="0" w:space="0" w:color="auto"/>
                <w:left w:val="none" w:sz="0" w:space="0" w:color="auto"/>
                <w:bottom w:val="none" w:sz="0" w:space="0" w:color="auto"/>
                <w:right w:val="none" w:sz="0" w:space="0" w:color="auto"/>
              </w:divBdr>
              <w:divsChild>
                <w:div w:id="4383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_1_%D0%BA%D0%B2%D0%B0%D1%80%D1%82%D0%B0%D0%BB_72%D0%90.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7264</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2024-02-15T03:35:00Z</dcterms:created>
  <dcterms:modified xsi:type="dcterms:W3CDTF">2024-02-15T03:36:00Z</dcterms:modified>
</cp:coreProperties>
</file>